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A50ADF">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Pr="00A50ADF" w:rsidRDefault="000F2247" w:rsidP="000F2247">
            <w:pPr>
              <w:suppressLineNumbers/>
              <w:rPr>
                <w:sz w:val="26"/>
                <w:szCs w:val="26"/>
              </w:rPr>
            </w:pPr>
            <w:r w:rsidRPr="00A50ADF">
              <w:rPr>
                <w:rFonts w:ascii="Arial" w:hAnsi="Arial" w:hint="cs"/>
                <w:b/>
                <w:bCs/>
                <w:sz w:val="26"/>
                <w:szCs w:val="26"/>
                <w:rtl/>
              </w:rPr>
              <w:t>ה</w:t>
            </w:r>
            <w:sdt>
              <w:sdtPr>
                <w:rPr>
                  <w:rFonts w:hint="cs"/>
                  <w:sz w:val="26"/>
                  <w:szCs w:val="26"/>
                  <w:rtl/>
                </w:rPr>
                <w:alias w:val="1180"/>
                <w:tag w:val="1180"/>
                <w:id w:val="637458750"/>
                <w:text w:multiLine="1"/>
              </w:sdtPr>
              <w:sdtEndPr/>
              <w:sdtContent>
                <w:r w:rsidRPr="00A50ADF">
                  <w:rPr>
                    <w:rFonts w:ascii="Arial" w:hAnsi="Arial"/>
                    <w:b/>
                    <w:bCs/>
                    <w:sz w:val="26"/>
                    <w:szCs w:val="26"/>
                    <w:rtl/>
                  </w:rPr>
                  <w:t>מאשימה</w:t>
                </w:r>
              </w:sdtContent>
            </w:sdt>
          </w:p>
          <w:p w:rsidR="00507694" w:rsidRPr="00A50ADF" w:rsidRDefault="00507694" w:rsidP="003E0C9F">
            <w:pPr>
              <w:rPr>
                <w:rFonts w:ascii="David" w:hAnsi="David"/>
                <w:sz w:val="26"/>
                <w:szCs w:val="26"/>
              </w:rPr>
            </w:pPr>
          </w:p>
        </w:tc>
        <w:tc>
          <w:tcPr>
            <w:tcW w:w="4678" w:type="dxa"/>
            <w:tcBorders>
              <w:top w:val="nil"/>
              <w:left w:val="nil"/>
              <w:bottom w:val="nil"/>
              <w:right w:val="nil"/>
            </w:tcBorders>
            <w:vAlign w:val="center"/>
          </w:tcPr>
          <w:p w:rsidR="00A50ADF" w:rsidRPr="00A50ADF" w:rsidRDefault="00E5031E"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sidRPr="00A50ADF">
                  <w:rPr>
                    <w:rFonts w:ascii="Arial" w:hAnsi="Arial"/>
                    <w:b/>
                    <w:bCs/>
                    <w:sz w:val="26"/>
                    <w:szCs w:val="26"/>
                    <w:rtl/>
                  </w:rPr>
                  <w:t>מדינת ישראל</w:t>
                </w:r>
              </w:sdtContent>
            </w:sdt>
            <w:r w:rsidR="009705CC" w:rsidRPr="00A50ADF">
              <w:rPr>
                <w:rFonts w:ascii="Arial" w:hAnsi="Arial" w:hint="cs"/>
                <w:b/>
                <w:bCs/>
                <w:sz w:val="26"/>
                <w:szCs w:val="26"/>
                <w:rtl/>
              </w:rPr>
              <w:t xml:space="preserve"> </w:t>
            </w:r>
          </w:p>
          <w:p w:rsidR="000F2247" w:rsidRPr="00A50ADF" w:rsidRDefault="00A50ADF" w:rsidP="00A50ADF">
            <w:pPr>
              <w:suppressLineNumbers/>
              <w:rPr>
                <w:sz w:val="26"/>
                <w:szCs w:val="26"/>
              </w:rPr>
            </w:pPr>
            <w:r w:rsidRPr="00A50ADF">
              <w:rPr>
                <w:rFonts w:ascii="Arial" w:hAnsi="Arial"/>
                <w:sz w:val="26"/>
                <w:szCs w:val="26"/>
                <w:rtl/>
              </w:rPr>
              <w:t xml:space="preserve">ע"י ב"כ </w:t>
            </w:r>
            <w:r w:rsidRPr="00A50ADF">
              <w:rPr>
                <w:rFonts w:hint="cs"/>
                <w:sz w:val="26"/>
                <w:szCs w:val="26"/>
                <w:rtl/>
              </w:rPr>
              <w:t>מפרקליטות מחוז י-ם (פלילי)</w:t>
            </w:r>
          </w:p>
          <w:p w:rsidR="00507694" w:rsidRPr="00A50ADF"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A50ADF" w:rsidRDefault="00507694">
            <w:pPr>
              <w:jc w:val="center"/>
              <w:rPr>
                <w:rFonts w:ascii="David" w:hAnsi="David"/>
                <w:b/>
                <w:bCs/>
                <w:sz w:val="26"/>
                <w:szCs w:val="26"/>
                <w:rtl/>
              </w:rPr>
            </w:pPr>
          </w:p>
          <w:p w:rsidR="00507694" w:rsidRPr="00A50ADF" w:rsidRDefault="00684E84">
            <w:pPr>
              <w:jc w:val="center"/>
              <w:rPr>
                <w:rFonts w:ascii="David" w:hAnsi="David"/>
                <w:b/>
                <w:bCs/>
                <w:sz w:val="26"/>
                <w:szCs w:val="26"/>
                <w:rtl/>
              </w:rPr>
            </w:pPr>
            <w:r w:rsidRPr="00A50ADF">
              <w:rPr>
                <w:rFonts w:ascii="David" w:hAnsi="David"/>
                <w:b/>
                <w:bCs/>
                <w:sz w:val="26"/>
                <w:szCs w:val="26"/>
                <w:rtl/>
              </w:rPr>
              <w:t>נגד</w:t>
            </w:r>
          </w:p>
          <w:p w:rsidR="00507694" w:rsidRPr="00A50ADF"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A50ADF" w:rsidRDefault="000F2247" w:rsidP="00A50ADF">
            <w:pPr>
              <w:rPr>
                <w:rFonts w:ascii="Arial" w:hAnsi="Arial"/>
                <w:b/>
                <w:bCs/>
                <w:sz w:val="26"/>
                <w:szCs w:val="26"/>
                <w:rtl/>
              </w:rPr>
            </w:pPr>
            <w:r w:rsidRPr="00A50ADF">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Pr="00A50ADF">
                  <w:rPr>
                    <w:rFonts w:ascii="Arial" w:hAnsi="Arial"/>
                    <w:b/>
                    <w:bCs/>
                    <w:sz w:val="26"/>
                    <w:szCs w:val="26"/>
                    <w:rtl/>
                  </w:rPr>
                  <w:t>נאש</w:t>
                </w:r>
                <w:r w:rsidR="00A50ADF" w:rsidRPr="00A50ADF">
                  <w:rPr>
                    <w:rFonts w:ascii="Arial" w:hAnsi="Arial" w:hint="cs"/>
                    <w:b/>
                    <w:bCs/>
                    <w:sz w:val="26"/>
                    <w:szCs w:val="26"/>
                    <w:rtl/>
                  </w:rPr>
                  <w:t>ם</w:t>
                </w:r>
              </w:sdtContent>
            </w:sdt>
          </w:p>
        </w:tc>
        <w:tc>
          <w:tcPr>
            <w:tcW w:w="4678" w:type="dxa"/>
            <w:tcBorders>
              <w:top w:val="nil"/>
              <w:left w:val="nil"/>
              <w:bottom w:val="nil"/>
              <w:right w:val="nil"/>
            </w:tcBorders>
            <w:vAlign w:val="center"/>
          </w:tcPr>
          <w:p w:rsidR="00A50ADF" w:rsidRPr="00A50ADF" w:rsidRDefault="00E5031E"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A50ADF">
                  <w:rPr>
                    <w:rFonts w:ascii="Arial" w:hAnsi="Arial"/>
                    <w:b/>
                    <w:bCs/>
                    <w:sz w:val="26"/>
                    <w:szCs w:val="26"/>
                    <w:rtl/>
                  </w:rPr>
                  <w:t>יצחק גבאי</w:t>
                </w:r>
              </w:sdtContent>
            </w:sdt>
            <w:r w:rsidR="009705CC" w:rsidRPr="00A50ADF">
              <w:rPr>
                <w:rFonts w:ascii="Arial" w:hAnsi="Arial" w:hint="cs"/>
                <w:b/>
                <w:bCs/>
                <w:sz w:val="26"/>
                <w:szCs w:val="26"/>
                <w:rtl/>
              </w:rPr>
              <w:t xml:space="preserve"> </w:t>
            </w:r>
          </w:p>
          <w:p w:rsidR="000F2247" w:rsidRPr="00A50ADF" w:rsidRDefault="00A50ADF" w:rsidP="000F2247">
            <w:pPr>
              <w:suppressLineNumbers/>
              <w:rPr>
                <w:sz w:val="26"/>
                <w:szCs w:val="26"/>
              </w:rPr>
            </w:pPr>
            <w:r w:rsidRPr="00A50ADF">
              <w:rPr>
                <w:rFonts w:ascii="Arial" w:hAnsi="Arial"/>
                <w:sz w:val="26"/>
                <w:szCs w:val="26"/>
                <w:rtl/>
              </w:rPr>
              <w:t>ע"י ב"כ עו</w:t>
            </w:r>
            <w:r w:rsidR="009705CC" w:rsidRPr="00A50ADF">
              <w:rPr>
                <w:rFonts w:ascii="Arial" w:hAnsi="Arial"/>
                <w:sz w:val="26"/>
                <w:szCs w:val="26"/>
                <w:rtl/>
              </w:rPr>
              <w:t>"ד</w:t>
            </w:r>
            <w:r w:rsidRPr="00A50ADF">
              <w:rPr>
                <w:rFonts w:ascii="Arial" w:hAnsi="Arial" w:hint="cs"/>
                <w:sz w:val="26"/>
                <w:szCs w:val="26"/>
                <w:rtl/>
              </w:rPr>
              <w:t xml:space="preserve"> דוד ברהום</w:t>
            </w:r>
          </w:p>
          <w:p w:rsidR="00507694" w:rsidRPr="00A50ADF"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הורשע ביום 28.9.2023, לאחר שמיעת עדויות, בביצוע מעשה מגונה, עבירה לפי סעיף 348(ג)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 או "</w:t>
      </w:r>
      <w:r>
        <w:rPr>
          <w:rFonts w:ascii="Miriam" w:hAnsi="Miriam" w:cs="Miriam"/>
          <w:sz w:val="24"/>
          <w:szCs w:val="24"/>
          <w:rtl/>
        </w:rPr>
        <w:t>החוק</w:t>
      </w:r>
      <w:r>
        <w:rPr>
          <w:rFonts w:ascii="FrankRuehl" w:hAnsi="FrankRuehl" w:cs="FrankRuehl"/>
          <w:sz w:val="28"/>
          <w:szCs w:val="28"/>
          <w:rtl/>
        </w:rPr>
        <w:t>"), בשתי עבירות.</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האישום וכפי שהוכח במשפט, במהלך חודש 08/2020, במשרדי ארגון להב"ה בירושלים, בשעת ערב, ביקשה המתלוננת – אז קטינה בת 17 – את עזרתו של הנאשם נוכח תקלה במחשב שלה. הוא הגיע למשרדה, נעמד מאחורי כּיסאהּ ותוך שהוא מתקן את המחשב, הוא החל לגעת בגבהּ, בחזה שלה, ברגליה ובין רגליה, וכן נישק אותה במצח ואמר לה שהיא יפה וכי הוא נמשך אליה. המתלוננת ביקשה כי יפסיק את מעשיו, אך הוא המשיך לגעת בה תוך שהוא שואל אותה אם היא בטוחה בכך. אז, היא ביקשה שוב כי יפסיק, והנאשם חדל ממעשיו. הוא התנצל לפניה ואמר לה כי היצר השתלט עליו. עוד הוכח במשפט, כי בהמשך אותו ערב, נתקלה המתלוננת בתקלה נוספת במחשב. לכן, היא ניגשה למשרדו של הנאשם על מנת לבקש את עזרתו. אז, הוא הוביל אותה חזרה למשרדה וביקש ממנה לשבת על הכיסא שלה. בהמשך לכך, הוא נגע בה שוב בגבהּ, בחזה שלה, ברגליה, בין רגליה ונישק אותה על מצחה. הנאשם חדל ממעשיו כשהמנקה הגיע לאזור שהותם. כל האמור, ביצע הנאשם ללא הסכמת המתלוננת ולשם גירוי או סיפוק מיני.</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לאחר מתן הכרעת הדין, הוזמנה הערכת מסוכנות מינית, תסקיר של שירות המבחן וגם חוות דעת של הממונה על עבודות השירות. ביחס לאחרון, זה הוזמן לאחר שהובהר לנאשם, כי חוות הדעת הוזמנה לשלמות התמונה, וכי אין בכך כדי ליצור ציפייה ביחס לרכיבי הענישה שיושתו בסופו של דבר.</w:t>
      </w:r>
    </w:p>
    <w:p w:rsidR="00D416E6" w:rsidRDefault="00D416E6" w:rsidP="00D416E6">
      <w:pPr>
        <w:spacing w:line="360" w:lineRule="auto"/>
        <w:jc w:val="both"/>
        <w:rPr>
          <w:rFonts w:ascii="FrankRuehl" w:hAnsi="FrankRuehl" w:cs="FrankRuehl"/>
          <w:sz w:val="28"/>
          <w:szCs w:val="28"/>
        </w:rPr>
      </w:pPr>
    </w:p>
    <w:p w:rsidR="00D416E6" w:rsidRDefault="00D416E6" w:rsidP="00D416E6">
      <w:pPr>
        <w:spacing w:line="360" w:lineRule="auto"/>
        <w:jc w:val="both"/>
        <w:rPr>
          <w:rFonts w:ascii="Miriam" w:hAnsi="Miriam" w:cs="Miriam"/>
          <w:u w:val="single"/>
          <w:rtl/>
        </w:rPr>
      </w:pPr>
      <w:r>
        <w:rPr>
          <w:rFonts w:ascii="Miriam" w:hAnsi="Miriam" w:cs="Miriam"/>
          <w:u w:val="single"/>
          <w:rtl/>
        </w:rPr>
        <w:t>הערכת המסוכנות, תסקיר שירות המבחן וחוות הדעת של הממונה</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הערכת המסוכנות התקבלה בתיק ביום 10.1.2024 ולפיה (בתמצית מתוך שמירה על צנעת הפרט), רמת המסוכנות המינית הנשקפת מהנאשם, היא </w:t>
      </w:r>
      <w:r>
        <w:rPr>
          <w:rFonts w:ascii="Miriam" w:hAnsi="Miriam" w:cs="Miriam"/>
          <w:sz w:val="24"/>
          <w:szCs w:val="24"/>
          <w:rtl/>
        </w:rPr>
        <w:t>בינונית</w:t>
      </w:r>
      <w:r>
        <w:rPr>
          <w:rFonts w:ascii="FrankRuehl" w:hAnsi="FrankRuehl" w:cs="FrankRuehl"/>
          <w:sz w:val="28"/>
          <w:szCs w:val="28"/>
          <w:rtl/>
        </w:rPr>
        <w:t xml:space="preserve">. ההערכה מבוססת על ניתוח מורחב לנתוני הנאשם, רקעו האישי והמשפחתי, לאחר בדיקתו ובחינת הגורמים השונים הנדרשים להערכה זו. אשר לגורמים הסטאטיים בעניינו (ביניהם: קיומן של הרשעות קודמות; היות הקורבן אינו בן-משפחה ועוד), הם נמצאו מגבירי מסוכנות. כך גם ביחס לגורמים הדינאמיים בעניינו (ביניהם: נטילת אחריות חלקית על-ידו לנוכח הנזק שנגרם </w:t>
      </w:r>
      <w:r>
        <w:rPr>
          <w:rFonts w:ascii="Miriam" w:hAnsi="Miriam" w:cs="Miriam"/>
          <w:sz w:val="24"/>
          <w:szCs w:val="24"/>
          <w:rtl/>
        </w:rPr>
        <w:t>לו</w:t>
      </w:r>
      <w:r>
        <w:rPr>
          <w:rFonts w:ascii="FrankRuehl" w:hAnsi="FrankRuehl" w:cs="FrankRuehl"/>
          <w:sz w:val="28"/>
          <w:szCs w:val="28"/>
          <w:rtl/>
        </w:rPr>
        <w:t xml:space="preserve"> מחשיפת מעשיו ולא עקב תובנה אודות הנזק שנגרם לקורבן; קשיים בדפוסי התנהגותו וקשייו בזיהוי מצבי סיכון, ועוד). בהערכת המסוכנות צוין, כי הנאשם שלל את הצורך שלו להליך טיפולי.</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תסקירי שירות המבחן שהוגשו, יצוין בתמצית מתוך שמירה על צנעת הפרט כאמור, כי הנאשם כיום, הוא בתחילת שנות ה-30 לחייו. הוא נמצא בזוגיות ועובד לפרנסתו. צעירותו לא הייתה נטולת קשיים (כמפורט בתסקירים), והדבר בא לידי ביטוי גם במעורבות שלו בפלילים בהמשך וריצוי עונשי מאסר. בהתייחסו לעבירה מושא האישום, הנאשם הכיר בפרטי האישום, הביע חרטה והבנה במשמעות הפגיעה במתלוננת. הוא אמנם הביע רצון להשתלב בהליך טיפולי, אך לפי התסקיר מיום 17.6.2024, הוא הודיע לשירות המבחן, כי לא יוכל להתחייב להליך כזה נוכח נישואיו הקרובים. זה המקום לציין, כי חלה התמשכות בהגשת התסקיר הראשון, מאחר ו"שכח" את הזימון לראיון בשירות (הודעה מיום 18.3.2024).</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לאחר דיון הטיעונים לעונש מיום 30.6.2024, ובהינתן בקשת שירות המבחן לאורכה להגשת תסקיר סופי עד חודש 11/2024 על מנת למצות הליך טיפולי, החלטתי ביום </w:t>
      </w:r>
      <w:r>
        <w:rPr>
          <w:rFonts w:ascii="FrankRuehl" w:hAnsi="FrankRuehl" w:cs="FrankRuehl"/>
          <w:sz w:val="28"/>
          <w:szCs w:val="28"/>
          <w:rtl/>
        </w:rPr>
        <w:lastRenderedPageBreak/>
        <w:t>30.6.2024, כי בשים לב לעמדות העונשיות של הצדדים והזמן שחלף ממועד ביצוע העבירה, יוגש תסקיר סופי עם המלצה עונשית, כאשר מכלול נסיבותיו של הנאשם, לרבות נכונותו להשתלב בהליך טיפולי, תישקלנה במלאכת מתן גזר הדין. בקשת דחיה נוספת מטעם שירות המבחן לצורך מיצוי הליך טיפולי, נדחתה ביום 8.9.2024, זאת לאחר מתן הדעת מחד גיסא, לעמדתו של הנאשם המצדד בדחיה, ומאידך גיסא, לעמדתה המתנגדת לכך של המאשימה.</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תסקיר סופי הוגש ביום 9.9.2024 ולפיו, הומלץ על מאסר שניתן לרצות בעבודות שירות, צו מבחן לשנתיים, פיצוי כספי למתלוננת וגם מאסר מותנה "</w:t>
      </w:r>
      <w:r>
        <w:rPr>
          <w:rFonts w:ascii="Miriam" w:hAnsi="Miriam" w:cs="Miriam"/>
          <w:sz w:val="24"/>
          <w:szCs w:val="24"/>
          <w:rtl/>
        </w:rPr>
        <w:t>כגורם חיצוני מרתיע ומציב בגבולות ברורים להתנהלותו</w:t>
      </w:r>
      <w:r>
        <w:rPr>
          <w:rFonts w:ascii="FrankRuehl" w:hAnsi="FrankRuehl" w:cs="FrankRuehl"/>
          <w:sz w:val="28"/>
          <w:szCs w:val="28"/>
          <w:rtl/>
        </w:rPr>
        <w:t>".</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חוות הדעת של הממונה על עבודות השירות, שהוגשה ביום 12.9.2024, נמצא שאין למשטרה התנגדות להעסקה בעבודות שירות (בכפוף למגבלה מסוימת), אך נדרש חיווי דעה של גורם ביטחוני נוסף לגיבוש עמדה סופית באשר לשאלת ההתאמה. </w:t>
      </w:r>
    </w:p>
    <w:p w:rsidR="00D416E6" w:rsidRDefault="00D416E6" w:rsidP="00D416E6">
      <w:pPr>
        <w:spacing w:line="360" w:lineRule="auto"/>
        <w:jc w:val="both"/>
        <w:rPr>
          <w:rFonts w:ascii="FrankRuehl" w:hAnsi="FrankRuehl" w:cs="FrankRuehl"/>
          <w:sz w:val="28"/>
          <w:szCs w:val="28"/>
        </w:rPr>
      </w:pPr>
    </w:p>
    <w:p w:rsidR="00D416E6" w:rsidRDefault="00D416E6" w:rsidP="00D416E6">
      <w:pPr>
        <w:spacing w:line="360" w:lineRule="auto"/>
        <w:jc w:val="both"/>
        <w:rPr>
          <w:rFonts w:ascii="FrankRuehl" w:hAnsi="FrankRuehl" w:cs="FrankRuehl"/>
          <w:sz w:val="28"/>
          <w:szCs w:val="28"/>
          <w:u w:val="single"/>
          <w:rtl/>
        </w:rPr>
      </w:pPr>
      <w:r>
        <w:rPr>
          <w:rFonts w:ascii="Miriam" w:hAnsi="Miriam" w:cs="Miriam"/>
          <w:u w:val="single"/>
          <w:rtl/>
        </w:rPr>
        <w:t>עיקרי טענות הצדדים לעונש</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כאמור, דיון טיעונים לעונש התקיים ביום 30.6.2024.</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המאשימה, בין השאר ובעיקר, הנאשם ביצע את מעשיו החמורים במתלוננת בעודה קטינה, במסגרת העבודה ותוך ניצול פערי הכוחות ביניהם. הוא ניצל בקשה תמימה שלה לסיוע טכני וביצע בה מעשים מגונים, פעמיים, חרף התנגדותה המפורשת לכך. המתלוננת הייתה נסערת, יצאה בוכייה מהמקום ובהמשך, היא נזקקה לטיפול נפשי. לפי המאשימה, מתחם הענישה ההולמת את נסיבות ביצוע העבירה, נע בין שנת מאסר בפועל ועד שנתיים מאסר. בהינתן עברו שכלל ריצוי מאסרים בפועל, רמת מסוכנותו המינית ונטילת האחריות על-ידו באופן חלקי בלבד, כל אלה מצדיקים למקֵם את עונשו של הנאשם במחצית המתחם האמור. המאשימה עותרת להטיל עליו 18 חודשי מאסר בפועל, מאסר על תנאי ופיצוי למתלוננת.</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הנאשם – באמצעות בא-כוחו </w:t>
      </w:r>
      <w:r>
        <w:rPr>
          <w:rFonts w:ascii="Miriam" w:hAnsi="Miriam" w:cs="Miriam"/>
          <w:sz w:val="24"/>
          <w:szCs w:val="24"/>
          <w:rtl/>
        </w:rPr>
        <w:t>עו"ד ד' ברהום</w:t>
      </w:r>
      <w:r>
        <w:rPr>
          <w:rFonts w:ascii="FrankRuehl" w:hAnsi="FrankRuehl" w:cs="FrankRuehl"/>
          <w:sz w:val="28"/>
          <w:szCs w:val="28"/>
          <w:rtl/>
        </w:rPr>
        <w:t xml:space="preserve"> – טוען מנגד, בין השאר ובעיקר, כי כנקודת מוצא, יש להתייחס למעשי הנאשם כאירוע אחד, מאחר ואלה התרחשו בסמיכות זמנים. הנאשם הוא בחור צעיר שניסה בדרכו שלו להתקרב אל המתלוננת. הוא חפץ ביצירת קשר אמתי אתה. אומנם הוא חדר לפרטיותה ללא הסכמתה, אך לא נעשה על-ידו כל מעשה אלים או מבזה כלפיה. על כן, אין בסיס לטענה בדבר ניצול כביכול. מדובר בחומרה ברף נמוך מאוד שמתקרב אף לגבול האי-פליליות. לנאשם אין סטיות מיניות. לעניין נזקהּ של המתלוננת, מעבר לטענה לפיה היא נזקקה לטיפול נפשי עקב האירוע, לא נתמכה טענה זו בראיות כלשהן, ולכן ספק אם נגרם לה נזק נפשי משמעותי. ההגנה גורסת, כי מתחם הענישה ההולמת בנסיבות העניין, נע בין מספר חודשי מאסר שיכול וירוצו בעבודות שירות ועד כשנת מאסר. הנאשם התחרט על מעשיו מוסרית ומצפונית, והוא הבין את טעותו. בנוסף, יש להתחשב בנסיבותיו המשפחתיות הקשות, שכללו אובדן בן-משפחה בטרם עת. כיום הוא נמצא בזוגיות, עובד למחייתו ומנהל אורח חיים יצרני ונורמטיבי. עברו הפלילי הוא ישן ברובו וגם אינו רלבנטי. לאור האמור, סבורה ההגנה שהעונש הראוי הוא מספר חודשי עבודות שירות, בצירוף עונשים נוספים לפי שיקול דעתו של בית המשפט.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גם הנאשם דיבר לפניי בדיון הטיעונים לעונש. לדבריו, עת המתלוננת התנגדה למעשיו, הוא הפסיק מיד וביקש את סליחתה. עוד באותו רגע, הוא הבין כי טעה. הוא ביקש את סליחתה שוב לאחר מספר חודשים. גם כיום, הוא מביע את צערו על האירוע, ולדבריו: "</w:t>
      </w:r>
      <w:r>
        <w:rPr>
          <w:rFonts w:ascii="Miriam" w:hAnsi="Miriam" w:cs="Miriam"/>
          <w:sz w:val="24"/>
          <w:szCs w:val="24"/>
          <w:rtl/>
        </w:rPr>
        <w:t>אני באמת הבנתי שאני הכרתי את הסיטואציה לא נכון</w:t>
      </w:r>
      <w:r>
        <w:rPr>
          <w:rFonts w:ascii="FrankRuehl" w:hAnsi="FrankRuehl" w:cs="FrankRuehl"/>
          <w:sz w:val="28"/>
          <w:szCs w:val="28"/>
          <w:rtl/>
        </w:rPr>
        <w:t>" (ש' 8-7, ע' 7). הוא ציין לפניי שלא התכוון להזיק למתלוננת ואינו עבריין מין. כיום, הוא מנהל ארגון חסד ומסייע למשפחות נזקקות, יש לו פעילות חברתית, לומד בישיבה, מייעץ בתחום העסקי ועתיד להתחתן בקרוב (לפי התסקירים האחרונים, הוא כבר נשוי). הנאשם ביקש כי בית המשפט ישקול את כל הנסיבות הללו לקולת העונש.</w:t>
      </w:r>
    </w:p>
    <w:p w:rsidR="00D416E6" w:rsidRDefault="00D416E6" w:rsidP="00D416E6">
      <w:pPr>
        <w:spacing w:line="360" w:lineRule="auto"/>
        <w:jc w:val="both"/>
        <w:rPr>
          <w:rFonts w:ascii="FrankRuehl" w:hAnsi="FrankRuehl" w:cs="FrankRuehl"/>
          <w:sz w:val="28"/>
          <w:szCs w:val="28"/>
        </w:rPr>
      </w:pPr>
    </w:p>
    <w:p w:rsidR="00D416E6" w:rsidRDefault="00D416E6" w:rsidP="00D416E6">
      <w:pPr>
        <w:spacing w:line="360" w:lineRule="auto"/>
        <w:jc w:val="both"/>
        <w:rPr>
          <w:rFonts w:ascii="Miriam" w:hAnsi="Miriam" w:cs="Miriam"/>
          <w:u w:val="single"/>
          <w:rtl/>
        </w:rPr>
      </w:pPr>
      <w:r>
        <w:rPr>
          <w:rFonts w:ascii="Miriam" w:hAnsi="Miriam" w:cs="Miriam"/>
          <w:u w:val="single"/>
          <w:rtl/>
        </w:rPr>
        <w:t>דיון והכרעה</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סעיף 40ב </w:t>
      </w:r>
      <w:r>
        <w:rPr>
          <w:rFonts w:ascii="Miriam" w:hAnsi="Miriam" w:cs="Miriam"/>
          <w:sz w:val="24"/>
          <w:szCs w:val="24"/>
          <w:rtl/>
        </w:rPr>
        <w:t>בחוק העונשין</w:t>
      </w:r>
      <w:r>
        <w:rPr>
          <w:rFonts w:ascii="FrankRuehl" w:hAnsi="FrankRuehl" w:cs="FrankRuehl"/>
          <w:sz w:val="28"/>
          <w:szCs w:val="28"/>
          <w:rtl/>
        </w:rPr>
        <w:t>: "</w:t>
      </w:r>
      <w:r>
        <w:rPr>
          <w:rFonts w:ascii="Miriam" w:hAnsi="Miriam" w:cs="Miriam"/>
          <w:sz w:val="24"/>
          <w:szCs w:val="24"/>
          <w:rtl/>
        </w:rPr>
        <w:t>העיקרון המנחה בענישה הוא קיומו של יחס הולם בין חומרת מעשה העבירה בנסיבותיו ומידת אשמו של הנאשם ובין סוג ומידת העונש המוטל עליו</w:t>
      </w:r>
      <w:r>
        <w:rPr>
          <w:rFonts w:ascii="FrankRuehl" w:hAnsi="FrankRuehl" w:cs="FrankRuehl"/>
          <w:sz w:val="28"/>
          <w:szCs w:val="28"/>
          <w:rtl/>
        </w:rPr>
        <w:t xml:space="preserve">". למילוי מלאכת גזירת הדין, נקבע בסעיף 40ג, כי בית המשפט יקבע מתחם עונש </w:t>
      </w:r>
      <w:r>
        <w:rPr>
          <w:rFonts w:ascii="FrankRuehl" w:hAnsi="FrankRuehl" w:cs="FrankRuehl"/>
          <w:sz w:val="28"/>
          <w:szCs w:val="28"/>
          <w:rtl/>
        </w:rPr>
        <w:lastRenderedPageBreak/>
        <w:t xml:space="preserve">הולם למעשה העבירה ולשם כך יתחשב בערך החברתי שנפגע מביצועה, במידת הפגיעה בו, במדיניות הענישה הנהוגה ובנסיבות הקשורות בביצוע העבירה. לאחר מכן, בתוך המתחם שייקבע, יגזור בית המשפט את העונש המתאים לנאשם, בהתחשב בנסיבות שאינן קשורות בביצוע העבירה, תוך מתן רשות לחרוג ממתחם זה.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הערכים המוגנים</w:t>
      </w:r>
      <w:r>
        <w:rPr>
          <w:rFonts w:ascii="FrankRuehl" w:hAnsi="FrankRuehl" w:cs="FrankRuehl"/>
          <w:sz w:val="28"/>
          <w:szCs w:val="28"/>
          <w:rtl/>
        </w:rPr>
        <w:t xml:space="preserve">: האיסור הקבוע בדין, נועד להגן על פרטיותו ועל האוטונומיה של הקורבן על גופו. איסורים שבעבירות מין הם בליבת החובה להגן על המרחב האישי של הפרט, הוא המרחב האינטימי, הן במובן הפיזי הן במובן הנפשי והרגשי. בע"פ 9994/07 </w:t>
      </w:r>
      <w:r>
        <w:rPr>
          <w:rFonts w:ascii="Miriam" w:hAnsi="Miriam" w:cs="Miriam"/>
          <w:sz w:val="24"/>
          <w:szCs w:val="24"/>
          <w:rtl/>
        </w:rPr>
        <w:t>פלוני נ' מדינת ישראל</w:t>
      </w:r>
      <w:r>
        <w:rPr>
          <w:rFonts w:ascii="FrankRuehl" w:hAnsi="FrankRuehl" w:cs="FrankRuehl"/>
          <w:sz w:val="28"/>
          <w:szCs w:val="28"/>
          <w:rtl/>
        </w:rPr>
        <w:t xml:space="preserve">, פסקה 14 (11.8.2008), נקבע בין השאר: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"על חומרתם הרבה של מעשי מין המתבצעים בזולת בהעדר הסכמה מרצון אין צורך להכביר מילים. הפסיקה השיפוטית ביחס לעבריינות הפלילית בתחום זה מוליכה מזה שנים קו בולט של החמרה בדין הן בהיבט הגמול והן בהיבט ההרתעה. הניצול המיני של הזולת בדרך של כפייה, או תוך אי התחשבות בהעדר הסכמה הוא אחת התופעות הקשות והפוגעניות ביותר בביטחונו הגופני והנפשי של הפרט, ובשלום הציבור ככלל. הפגיעה המינית העבריינית פולשת לגופו ולנפשו של הקרבן, והורסת בו חלקה טובה. היא מבזה את עצמיותו, ופוגעת באינטימיות ובאוטונומיה המקודשת של גופו. היא משקפת את השתלטות החזק והברוטאלי על החלש וחסר האונים. היא מצריכה התערבות ממשית של מערכות החוק והמשפט כדי להגן על קרבנות עבריינות המין בפועל ובפוטנציה"</w:t>
      </w:r>
    </w:p>
    <w:p w:rsidR="00D416E6" w:rsidRDefault="00D416E6" w:rsidP="00D416E6">
      <w:pPr>
        <w:spacing w:line="360" w:lineRule="auto"/>
        <w:jc w:val="both"/>
        <w:rPr>
          <w:rFonts w:ascii="FrankRuehl" w:hAnsi="FrankRuehl" w:cs="FrankRuehl"/>
          <w:sz w:val="28"/>
          <w:szCs w:val="28"/>
          <w:rtl/>
        </w:rPr>
      </w:pPr>
    </w:p>
    <w:p w:rsidR="00D416E6" w:rsidRDefault="00D416E6" w:rsidP="00D416E6">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t xml:space="preserve">(ראו גם: ע"פ 1216/21 </w:t>
      </w:r>
      <w:r>
        <w:rPr>
          <w:rFonts w:ascii="Miriam" w:hAnsi="Miriam" w:cs="Miriam"/>
          <w:rtl/>
        </w:rPr>
        <w:t>לארי נ' מדינת ישראל</w:t>
      </w:r>
      <w:r>
        <w:rPr>
          <w:rFonts w:ascii="FrankRuehl" w:hAnsi="FrankRuehl" w:cs="FrankRuehl"/>
          <w:sz w:val="28"/>
          <w:szCs w:val="28"/>
          <w:rtl/>
        </w:rPr>
        <w:t xml:space="preserve">, פסקה 10 (19.5.2022); ע"פ 3677/21 </w:t>
      </w:r>
      <w:r>
        <w:rPr>
          <w:rFonts w:ascii="Miriam" w:hAnsi="Miriam" w:cs="Miriam"/>
          <w:rtl/>
        </w:rPr>
        <w:t>מדינת ישראל נ' שללאשוילי</w:t>
      </w:r>
      <w:r>
        <w:rPr>
          <w:rFonts w:ascii="FrankRuehl" w:hAnsi="FrankRuehl" w:cs="FrankRuehl"/>
          <w:sz w:val="28"/>
          <w:szCs w:val="28"/>
          <w:rtl/>
        </w:rPr>
        <w:t>, פסקה 21 (13.2.2022))</w:t>
      </w:r>
    </w:p>
    <w:p w:rsidR="00D416E6" w:rsidRDefault="00D416E6" w:rsidP="00D416E6">
      <w:pPr>
        <w:spacing w:line="360" w:lineRule="auto"/>
        <w:ind w:left="720" w:hanging="720"/>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הצורך בהגנה על ערכים אלה מתחדד עוד יותר, כאשר קורבן העבירה הוא קטין, בעיקר, נוכח ההשלכות החמורות וארוכות הטווח, של הפגיעה בגופו ובנפשו של הקטין. בע"פ 3235/22 </w:t>
      </w:r>
      <w:r>
        <w:rPr>
          <w:rFonts w:ascii="Miriam" w:hAnsi="Miriam" w:cs="Miriam"/>
          <w:sz w:val="24"/>
          <w:szCs w:val="24"/>
          <w:rtl/>
        </w:rPr>
        <w:t>אללו נ' מדינת ישראל</w:t>
      </w:r>
      <w:r>
        <w:rPr>
          <w:rFonts w:ascii="FrankRuehl" w:hAnsi="FrankRuehl" w:cs="FrankRuehl"/>
          <w:sz w:val="28"/>
          <w:szCs w:val="28"/>
          <w:rtl/>
        </w:rPr>
        <w:t xml:space="preserve"> (22.1.2023), נקבע שם בפסקה 13, בין היתר:</w:t>
      </w:r>
    </w:p>
    <w:p w:rsidR="00D416E6" w:rsidRDefault="00D416E6" w:rsidP="00D416E6">
      <w:pPr>
        <w:pStyle w:val="ab"/>
        <w:spacing w:after="0" w:line="360" w:lineRule="auto"/>
        <w:ind w:left="1440" w:right="567"/>
        <w:jc w:val="both"/>
        <w:rPr>
          <w:rFonts w:ascii="FrankRuehl" w:hAnsi="FrankRuehl" w:cs="FrankRuehl"/>
          <w:sz w:val="28"/>
          <w:szCs w:val="28"/>
        </w:rPr>
      </w:pPr>
    </w:p>
    <w:p w:rsidR="00D416E6" w:rsidRDefault="00D416E6" w:rsidP="00D416E6">
      <w:pPr>
        <w:pStyle w:val="ab"/>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"במקרים רבים, בפרט במקרים בהם מעורבים קטינים, הפגיעות המיניות מובילות לצלקות עמוקות בנפש, אשר מוצאות ביטוי בפגיעה בתפקוד השוטף במסגרות החיים השונות –  החברתית והאישית, ובהמשך הדרך גם במסגרות המקצועיות והזוגיות (...). אשר על כן, ברי כי על העונש שנגזר בעבירות מין בכלל, לרבות עבירות-מין אינטרנטיות ואונס מרחוק בפרט (או </w:t>
      </w:r>
      <w:r>
        <w:rPr>
          <w:rFonts w:ascii="FrankRuehl" w:hAnsi="FrankRuehl" w:cs="FrankRuehl"/>
          <w:sz w:val="28"/>
          <w:szCs w:val="28"/>
          <w:rtl/>
        </w:rPr>
        <w:lastRenderedPageBreak/>
        <w:t xml:space="preserve">ביתר דיוק, גרם אונס) – לשקף את </w:t>
      </w:r>
      <w:r>
        <w:rPr>
          <w:rFonts w:ascii="Miriam" w:hAnsi="Miriam" w:cs="Miriam"/>
          <w:sz w:val="24"/>
          <w:szCs w:val="24"/>
          <w:rtl/>
        </w:rPr>
        <w:t>הסלידה</w:t>
      </w:r>
      <w:r>
        <w:rPr>
          <w:rFonts w:ascii="FrankRuehl" w:hAnsi="FrankRuehl" w:cs="FrankRuehl"/>
          <w:sz w:val="28"/>
          <w:szCs w:val="28"/>
          <w:rtl/>
        </w:rPr>
        <w:t xml:space="preserve"> ממעשים אלו, ואת הוקעתם של המעשים והעושים, תוך שליחת </w:t>
      </w:r>
      <w:r>
        <w:rPr>
          <w:rFonts w:ascii="Miriam" w:hAnsi="Miriam" w:cs="Miriam"/>
          <w:sz w:val="24"/>
          <w:szCs w:val="24"/>
          <w:rtl/>
        </w:rPr>
        <w:t>מסר מרתיע</w:t>
      </w:r>
      <w:r>
        <w:rPr>
          <w:rFonts w:ascii="FrankRuehl" w:hAnsi="FrankRuehl" w:cs="FrankRuehl"/>
          <w:sz w:val="28"/>
          <w:szCs w:val="28"/>
          <w:rtl/>
        </w:rPr>
        <w:t xml:space="preserve"> ליחיד ולרבים (...)"</w:t>
      </w:r>
    </w:p>
    <w:p w:rsidR="00D416E6" w:rsidRDefault="00D416E6" w:rsidP="00D416E6">
      <w:pPr>
        <w:pStyle w:val="ab"/>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(ההדגשות אינן במקור)</w:t>
      </w:r>
    </w:p>
    <w:p w:rsidR="00D416E6" w:rsidRDefault="00D416E6" w:rsidP="00D416E6">
      <w:pPr>
        <w:spacing w:line="360" w:lineRule="auto"/>
        <w:ind w:left="720" w:hanging="720"/>
        <w:jc w:val="both"/>
        <w:rPr>
          <w:rFonts w:ascii="FrankRuehl" w:hAnsi="FrankRuehl" w:cs="FrankRuehl"/>
          <w:sz w:val="28"/>
          <w:szCs w:val="28"/>
          <w:rtl/>
        </w:rPr>
      </w:pPr>
    </w:p>
    <w:p w:rsidR="00D416E6" w:rsidRDefault="00D416E6" w:rsidP="00D416E6">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t xml:space="preserve">(ראו גם מיני רבים: ע"פ 966/19 </w:t>
      </w:r>
      <w:r>
        <w:rPr>
          <w:rFonts w:ascii="Miriam" w:hAnsi="Miriam" w:cs="Miriam"/>
          <w:rtl/>
        </w:rPr>
        <w:t>פלוני נ' מדינת ישראל</w:t>
      </w:r>
      <w:r>
        <w:rPr>
          <w:rFonts w:ascii="FrankRuehl" w:hAnsi="FrankRuehl" w:cs="FrankRuehl"/>
          <w:sz w:val="28"/>
          <w:szCs w:val="28"/>
          <w:rtl/>
        </w:rPr>
        <w:t>, פסקה 15 (29.1.2022);</w:t>
      </w:r>
      <w:r>
        <w:rPr>
          <w:rtl/>
        </w:rPr>
        <w:t xml:space="preserve"> </w:t>
      </w:r>
      <w:r>
        <w:rPr>
          <w:rFonts w:ascii="FrankRuehl" w:hAnsi="FrankRuehl" w:cs="FrankRuehl"/>
          <w:sz w:val="28"/>
          <w:szCs w:val="28"/>
          <w:rtl/>
        </w:rPr>
        <w:t xml:space="preserve">ע"פ 4731/19 </w:t>
      </w:r>
      <w:r>
        <w:rPr>
          <w:rFonts w:ascii="Miriam" w:hAnsi="Miriam" w:cs="Miriam"/>
          <w:rtl/>
        </w:rPr>
        <w:t>פלוני נ' מדינת ישראל</w:t>
      </w:r>
      <w:r>
        <w:rPr>
          <w:rFonts w:ascii="FrankRuehl" w:hAnsi="FrankRuehl" w:cs="FrankRuehl"/>
          <w:sz w:val="28"/>
          <w:szCs w:val="28"/>
          <w:rtl/>
        </w:rPr>
        <w:t>, פסקה 8 (3.10.2019))</w:t>
      </w:r>
    </w:p>
    <w:p w:rsidR="00D416E6" w:rsidRDefault="00D416E6" w:rsidP="00D416E6">
      <w:pPr>
        <w:spacing w:line="360" w:lineRule="auto"/>
        <w:ind w:left="720" w:hanging="720"/>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ביצוע העבירות</w:t>
      </w:r>
      <w:r>
        <w:rPr>
          <w:rFonts w:ascii="FrankRuehl" w:hAnsi="FrankRuehl" w:cs="FrankRuehl"/>
          <w:sz w:val="28"/>
          <w:szCs w:val="28"/>
          <w:rtl/>
        </w:rPr>
        <w:t>: כפי שהוכח במשפט, באותם המועדים הרלבנטיים לאישום, הנאשם היה בפועל "</w:t>
      </w:r>
      <w:r>
        <w:rPr>
          <w:rFonts w:ascii="Miriam" w:hAnsi="Miriam" w:cs="Miriam"/>
          <w:sz w:val="24"/>
          <w:szCs w:val="24"/>
          <w:rtl/>
        </w:rPr>
        <w:t>הבוס</w:t>
      </w:r>
      <w:r>
        <w:rPr>
          <w:rFonts w:ascii="FrankRuehl" w:hAnsi="FrankRuehl" w:cs="FrankRuehl"/>
          <w:sz w:val="28"/>
          <w:szCs w:val="28"/>
          <w:rtl/>
        </w:rPr>
        <w:t>" של המתלוננת בעבודה, ולא רק. הוא היה הכתובת הספציפית עבורה לפתרון תקלות במחשב. היא הייתה קטינה והוא מבוגר ממנה בכ-10 שנים, ושניהם שהו ביחידות באותה קומה במשרדי העבודה שלהם. קריאות המתלוננת לעזרת הנאשם היו שגרתיות לעבודה ותמימות לחלוטין. המתלוננת אישרה בעדותה במשפט, וכפי שנקבע בהכרעת הדין, אמנם היא יכלה לפתור את אותן תקלות בעצמה, אך דבר זה היה דורש ממנה זמן רב ולכן היא קראה לעזרתו של הנאשם לצורך הגברת הִסְפק העבודה שלה וגם מטעם כלכלי של השגת "</w:t>
      </w:r>
      <w:r>
        <w:rPr>
          <w:rFonts w:ascii="Miriam" w:hAnsi="Miriam" w:cs="Miriam"/>
          <w:sz w:val="24"/>
          <w:szCs w:val="24"/>
          <w:rtl/>
        </w:rPr>
        <w:t>בונוסים</w:t>
      </w:r>
      <w:r>
        <w:rPr>
          <w:rFonts w:ascii="FrankRuehl" w:hAnsi="FrankRuehl" w:cs="FrankRuehl"/>
          <w:sz w:val="28"/>
          <w:szCs w:val="28"/>
          <w:rtl/>
        </w:rPr>
        <w:t>".</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תוך ניצול מעמדות אלה ושהותם יחד, וכן תוך מעילה ביחסי האמון ביניהם, כפי שהוכח במשפט, בפעם הראשונה וללא הסכמתה, נגע הנאשם בגופה של המתלוננת במספר מקומות מעל הבגדים, לרבות בחזה שלה ורגליה, וגם נישק אותה במצח. כאשר ביקשה ממנו כי יחדל מכך, הוא תהה אם היא בטוחה בכך והמשיך במעשיו. נוכח המשך סירובה, הוא הפסיק והתנצל. בפעם השנייה, לאחר שניגשה אליו וקראה לו לסייע לה שוב בענייני המחשב, הוא שוב נגע בגופה, באותן המקומות כמעט, ושוב נישק אותה, ללא הסכמתה. הוא חדל ממעשיו לאחר שהתקרב המנקה. המתלוננת הסבירה, כי בפעם השנייה היא ניגשה אליו ולא קראה לו בדומה לפעם הראשונה, משום שהיא חששה שמא יפגע בה שוב. בעת מעשיו, קפאה המתלוננת, וסמוך לאחריהם היא פגשה את חברתה כשהיא נסערת ובוכייה.</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לשאלת החומרה של המעשים, אין בידי לקבל את עמדת ההגנה לפיה מדובר במעשים ברף הנמוך. נכון, אי-שימוש בכוח, העדר אלימות מילולית, העדר איומים או שיח מבזה כלפי המתלוננת, לפני או תוך כדי ביצוע המעשים, וכך גם העובדה לפיה הנגיעות היו מעל הבגדים, ככלל, יש באלה כדי להפחית מחומר המעשים, זאת בהשוואה למקרים אחרים </w:t>
      </w:r>
      <w:r>
        <w:rPr>
          <w:rFonts w:ascii="FrankRuehl" w:hAnsi="FrankRuehl" w:cs="FrankRuehl"/>
          <w:sz w:val="28"/>
          <w:szCs w:val="28"/>
          <w:rtl/>
        </w:rPr>
        <w:lastRenderedPageBreak/>
        <w:t xml:space="preserve">בעבירות מין, שהם חמורים יותר. עם זאת, גם במקרה לפנינו, מדובר במעשים חמורים כשלעצמם, אשר בעיניי, נסיבות ביצועם ממקמות את החומרה בטווח שבין הרף הנמוך לבינוני. </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סְברתי זו מתבססת על כך שהנאשם ביצע את מעשיו במרחב סגור (מקום עבודה), אשר לכל הדעות, הוא אמור להיות מרחב בטוח. חומרת המעשים נגזרת גם מפערי הגילאים בינו לבין המתלוננת (כ-10 שנים) ובעיקר – עובדת היותה קטינה במועד האירוע (בת 17). החומרה נגזרת גם מיחסי הכפיפות בעבודה ופערי הכוחות שהיו ביניהם באותה עת. לא זו בלבד. נזכיר את העובדה שהוכחה במשפט לפיה, המתלוננת התנגדה מפורשות למעשי הנאשם עוד בהזדמנות הראשונה. אף שהוא התנצל לפניה בפעם הראשונה, הוא חזר לסורו בפעם השנייה. </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הפולמוס בין הצדדים אם מדובר באירועים נפרדים (כפי גישת המאשימה), או שמא באירוע אחד בשל סמיכות הזמנים ביניהם (כפי גישת ההגנה, גישה שהיא מסתברת יותר ומקובלת עליי), אינו מקהה את חומרת המעשים. כך שגם אם נראֶה בשתי הפעמים שבהן פגע הנאשם מינית במתלוננת, כאירוע אחד, הרי ריבוי הנגיעות ומשך האירוע, מגביר את חומרתו. מכל מקום, הנאשם הורשע בביצוע שתי עבירות של מעשה מגונה.</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לפני סוף, וביחס לחומרה שיש לייחס לפגיעות מיניות על רקע יחסי העבודה, נזכיר בנדון דנן כי המחוקק נתן את דעתו לכך בצורה מובהקת, ודי אם נפנה </w:t>
      </w:r>
      <w:r>
        <w:rPr>
          <w:rFonts w:ascii="Miriam" w:hAnsi="Miriam" w:cs="Miriam"/>
          <w:sz w:val="24"/>
          <w:szCs w:val="24"/>
          <w:rtl/>
        </w:rPr>
        <w:t>לחוק למניעת הטרדה מינית, התשנ"ח-1998</w:t>
      </w:r>
      <w:r>
        <w:rPr>
          <w:rFonts w:ascii="FrankRuehl" w:hAnsi="FrankRuehl" w:cs="FrankRuehl"/>
          <w:sz w:val="28"/>
          <w:szCs w:val="28"/>
          <w:rtl/>
        </w:rPr>
        <w:t>, אשר מצא לקבוע, כי אפילו מעשים מילוליים כמו הצעות חוזרות או התייחסויות בעלות אופי מיני, המופנות לעובד בעבודה ותוך ניצול יחסי המרות, מעשים אלה מהווים הטרדה מינית, גם אם המוטרד "</w:t>
      </w:r>
      <w:r>
        <w:rPr>
          <w:rFonts w:ascii="Miriam" w:hAnsi="Miriam" w:cs="Miriam"/>
          <w:sz w:val="24"/>
          <w:szCs w:val="24"/>
          <w:rtl/>
        </w:rPr>
        <w:t>לא הראה למטריד כי אינו מעונין בהצעות או בהתייחסויות האמורות</w:t>
      </w:r>
      <w:r>
        <w:rPr>
          <w:rFonts w:ascii="FrankRuehl" w:hAnsi="FrankRuehl" w:cs="FrankRuehl"/>
          <w:sz w:val="28"/>
          <w:szCs w:val="28"/>
          <w:rtl/>
        </w:rPr>
        <w:t>".</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מתחם הענישה ההולמת</w:t>
      </w:r>
      <w:r>
        <w:rPr>
          <w:rFonts w:ascii="FrankRuehl" w:hAnsi="FrankRuehl" w:cs="FrankRuehl"/>
          <w:sz w:val="28"/>
          <w:szCs w:val="28"/>
          <w:rtl/>
        </w:rPr>
        <w:t xml:space="preserve">: לאחר מתן הדעת לטיעוני הצדדים בנדון דנן, לאחר עיון בפסיקה אליה הם הפנו וגם לפסיקה רלבנטית אחרת, שלעתים התייחסה לנסיבות חמורות או מקלות יותר, או בצירוף עבירות נוספות, אני סבור כי מנעד הענישה ההולמת את נסיבות המקרה </w:t>
      </w:r>
      <w:r>
        <w:rPr>
          <w:rFonts w:ascii="FrankRuehl" w:hAnsi="FrankRuehl" w:cs="FrankRuehl"/>
          <w:sz w:val="28"/>
          <w:szCs w:val="28"/>
          <w:rtl/>
        </w:rPr>
        <w:lastRenderedPageBreak/>
        <w:t xml:space="preserve">שלפניי, תוך מתן דגש לכך שהמעשים בוצעו בשתי עבירות, הוא </w:t>
      </w:r>
      <w:r>
        <w:rPr>
          <w:rFonts w:ascii="Miriam" w:hAnsi="Miriam" w:cs="Miriam"/>
          <w:sz w:val="24"/>
          <w:szCs w:val="24"/>
          <w:rtl/>
        </w:rPr>
        <w:t>נע בין 8-7 חודשי מאסר ועד 20 חודשי מאסר (ובמקרים מסוימים אף למעלה מכך), לצד ענישה נלווית</w:t>
      </w:r>
      <w:r>
        <w:rPr>
          <w:rFonts w:ascii="FrankRuehl" w:hAnsi="FrankRuehl" w:cs="FrankRuehl"/>
          <w:sz w:val="28"/>
          <w:szCs w:val="28"/>
          <w:rtl/>
        </w:rPr>
        <w:t xml:space="preserve">.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spacing w:after="0" w:line="360" w:lineRule="auto"/>
        <w:jc w:val="both"/>
        <w:rPr>
          <w:rFonts w:ascii="FrankRuehl" w:hAnsi="FrankRuehl" w:cs="FrankRuehl"/>
          <w:sz w:val="28"/>
          <w:szCs w:val="28"/>
          <w:rtl/>
        </w:rPr>
      </w:pPr>
      <w:r>
        <w:rPr>
          <w:rFonts w:ascii="FrankRuehl" w:hAnsi="FrankRuehl" w:cs="FrankRuehl"/>
          <w:sz w:val="28"/>
          <w:szCs w:val="28"/>
          <w:rtl/>
        </w:rPr>
        <w:t xml:space="preserve">ראו השוו עם השינויים </w:t>
      </w:r>
      <w:r>
        <w:rPr>
          <w:rFonts w:ascii="FrankRuehl" w:hAnsi="FrankRuehl" w:cs="FrankRuehl"/>
          <w:sz w:val="28"/>
          <w:szCs w:val="28"/>
          <w:u w:val="single"/>
          <w:rtl/>
        </w:rPr>
        <w:t>המתחייבים</w:t>
      </w:r>
      <w:r>
        <w:rPr>
          <w:rFonts w:ascii="FrankRuehl" w:hAnsi="FrankRuehl" w:cs="FrankRuehl"/>
          <w:sz w:val="28"/>
          <w:szCs w:val="28"/>
          <w:rtl/>
        </w:rPr>
        <w:t xml:space="preserve"> (לפי סדר ערכאה-תאריך): </w:t>
      </w:r>
      <w:bookmarkStart w:id="0" w:name="_Hlk177237595"/>
      <w:r>
        <w:rPr>
          <w:rFonts w:ascii="FrankRuehl" w:hAnsi="FrankRuehl" w:cs="FrankRuehl"/>
          <w:sz w:val="28"/>
          <w:szCs w:val="28"/>
          <w:rtl/>
        </w:rPr>
        <w:t xml:space="preserve">רע"פ 5173/21 </w:t>
      </w:r>
      <w:r>
        <w:rPr>
          <w:rFonts w:ascii="Miriam" w:hAnsi="Miriam" w:cs="Miriam"/>
          <w:sz w:val="24"/>
          <w:szCs w:val="24"/>
          <w:rtl/>
        </w:rPr>
        <w:t>פלוני נ' מדינת ישראל</w:t>
      </w:r>
      <w:r>
        <w:rPr>
          <w:rFonts w:ascii="FrankRuehl" w:hAnsi="FrankRuehl" w:cs="FrankRuehl"/>
          <w:sz w:val="28"/>
          <w:szCs w:val="28"/>
          <w:rtl/>
        </w:rPr>
        <w:t xml:space="preserve"> (11.8.2021)</w:t>
      </w:r>
      <w:bookmarkEnd w:id="0"/>
      <w:r>
        <w:rPr>
          <w:rFonts w:ascii="FrankRuehl" w:hAnsi="FrankRuehl" w:cs="FrankRuehl"/>
          <w:sz w:val="28"/>
          <w:szCs w:val="28"/>
          <w:rtl/>
        </w:rPr>
        <w:t xml:space="preserve">; רע"פ 2341/18 </w:t>
      </w:r>
      <w:r>
        <w:rPr>
          <w:rFonts w:ascii="Miriam" w:hAnsi="Miriam" w:cs="Miriam"/>
          <w:sz w:val="24"/>
          <w:szCs w:val="24"/>
          <w:rtl/>
        </w:rPr>
        <w:t>פלוני נ' מדינת ישראל</w:t>
      </w:r>
      <w:r>
        <w:rPr>
          <w:rFonts w:ascii="FrankRuehl" w:hAnsi="FrankRuehl" w:cs="FrankRuehl"/>
          <w:sz w:val="28"/>
          <w:szCs w:val="28"/>
          <w:rtl/>
        </w:rPr>
        <w:t xml:space="preserve"> (23.3.2018); רע"פ 5205/15 </w:t>
      </w:r>
      <w:r>
        <w:rPr>
          <w:rFonts w:ascii="Miriam" w:hAnsi="Miriam" w:cs="Miriam"/>
          <w:sz w:val="24"/>
          <w:szCs w:val="24"/>
          <w:rtl/>
        </w:rPr>
        <w:t>טנוס נ' מדינת ישראל</w:t>
      </w:r>
      <w:r>
        <w:rPr>
          <w:rFonts w:ascii="FrankRuehl" w:hAnsi="FrankRuehl" w:cs="FrankRuehl"/>
          <w:sz w:val="28"/>
          <w:szCs w:val="28"/>
          <w:rtl/>
        </w:rPr>
        <w:t xml:space="preserve"> (9.8.2015); רע"פ 2202/14 </w:t>
      </w:r>
      <w:r>
        <w:rPr>
          <w:rFonts w:ascii="Miriam" w:hAnsi="Miriam" w:cs="Miriam"/>
          <w:sz w:val="24"/>
          <w:szCs w:val="24"/>
          <w:rtl/>
        </w:rPr>
        <w:t>פלוני נ' מדינת ישראל</w:t>
      </w:r>
      <w:r>
        <w:rPr>
          <w:rFonts w:ascii="FrankRuehl" w:hAnsi="FrankRuehl" w:cs="FrankRuehl"/>
          <w:sz w:val="28"/>
          <w:szCs w:val="28"/>
          <w:rtl/>
        </w:rPr>
        <w:t xml:space="preserve"> (10.6.2014); עפ"ג (מחוזי מרכז) 19473-04-18 </w:t>
      </w:r>
      <w:r>
        <w:rPr>
          <w:rFonts w:ascii="Miriam" w:hAnsi="Miriam" w:cs="Miriam"/>
          <w:sz w:val="24"/>
          <w:szCs w:val="24"/>
          <w:rtl/>
        </w:rPr>
        <w:t>עובדיה נ' מדינת ישראל</w:t>
      </w:r>
      <w:r>
        <w:rPr>
          <w:rFonts w:ascii="FrankRuehl" w:hAnsi="FrankRuehl" w:cs="FrankRuehl"/>
          <w:sz w:val="28"/>
          <w:szCs w:val="28"/>
          <w:rtl/>
        </w:rPr>
        <w:t xml:space="preserve"> (8.7.2018); עפ"ג (מחוזי י-ם) 27848-10-14 </w:t>
      </w:r>
      <w:r>
        <w:rPr>
          <w:rFonts w:ascii="Miriam" w:hAnsi="Miriam" w:cs="Miriam"/>
          <w:sz w:val="24"/>
          <w:szCs w:val="24"/>
          <w:rtl/>
        </w:rPr>
        <w:t>דחליקה נ' מדינת ישראל</w:t>
      </w:r>
      <w:r>
        <w:rPr>
          <w:rFonts w:ascii="FrankRuehl" w:hAnsi="FrankRuehl" w:cs="FrankRuehl"/>
          <w:sz w:val="28"/>
          <w:szCs w:val="28"/>
          <w:rtl/>
        </w:rPr>
        <w:t xml:space="preserve"> (16.12.2014); </w:t>
      </w:r>
      <w:r>
        <w:rPr>
          <w:rFonts w:ascii="FrankRuehl" w:hAnsi="FrankRuehl" w:cs="FrankRuehl"/>
          <w:color w:val="000000"/>
          <w:sz w:val="28"/>
          <w:szCs w:val="28"/>
          <w:rtl/>
        </w:rPr>
        <w:t xml:space="preserve">ע"פ (מחוזי מרכז) 42460-03-13‏ </w:t>
      </w:r>
      <w:r>
        <w:rPr>
          <w:rFonts w:ascii="Miriam" w:hAnsi="Miriam" w:cs="Miriam"/>
          <w:color w:val="000000"/>
          <w:sz w:val="24"/>
          <w:szCs w:val="24"/>
          <w:rtl/>
        </w:rPr>
        <w:t>ינקלוביץ נ' מדינת ישראל</w:t>
      </w:r>
      <w:r>
        <w:rPr>
          <w:rFonts w:ascii="FrankRuehl" w:hAnsi="FrankRuehl" w:cs="FrankRuehl"/>
          <w:color w:val="000000"/>
          <w:sz w:val="28"/>
          <w:szCs w:val="28"/>
          <w:rtl/>
        </w:rPr>
        <w:t xml:space="preserve"> (26.1.2014); ע"פ (מחוזי י-ם) 16985-04-10 </w:t>
      </w:r>
      <w:r>
        <w:rPr>
          <w:rFonts w:ascii="Miriam" w:hAnsi="Miriam" w:cs="Miriam"/>
          <w:color w:val="000000"/>
          <w:sz w:val="24"/>
          <w:szCs w:val="24"/>
          <w:rtl/>
        </w:rPr>
        <w:t>בן-יעקב נ' מדינת ישראל</w:t>
      </w:r>
      <w:r>
        <w:rPr>
          <w:rFonts w:ascii="FrankRuehl" w:hAnsi="FrankRuehl" w:cs="FrankRuehl"/>
          <w:color w:val="000000"/>
          <w:sz w:val="28"/>
          <w:szCs w:val="28"/>
          <w:rtl/>
        </w:rPr>
        <w:t xml:space="preserve"> (28.12.2010); </w:t>
      </w:r>
      <w:r>
        <w:rPr>
          <w:rFonts w:ascii="FrankRuehl" w:hAnsi="FrankRuehl" w:cs="FrankRuehl"/>
          <w:sz w:val="28"/>
          <w:szCs w:val="28"/>
          <w:rtl/>
        </w:rPr>
        <w:t xml:space="preserve">ת"פ (שלום י-ם) 57428-12-19 </w:t>
      </w:r>
      <w:r>
        <w:rPr>
          <w:rFonts w:ascii="Miriam" w:hAnsi="Miriam" w:cs="Miriam"/>
          <w:sz w:val="24"/>
          <w:szCs w:val="24"/>
          <w:rtl/>
        </w:rPr>
        <w:t>מדינת ישראל נ' אלחי</w:t>
      </w:r>
      <w:r>
        <w:rPr>
          <w:rFonts w:ascii="FrankRuehl" w:hAnsi="FrankRuehl" w:cs="FrankRuehl"/>
          <w:sz w:val="28"/>
          <w:szCs w:val="28"/>
          <w:rtl/>
        </w:rPr>
        <w:t xml:space="preserve"> (2.5.2023); ת"פ (שלום ת"א) 55861-03-21 </w:t>
      </w:r>
      <w:r>
        <w:rPr>
          <w:rFonts w:ascii="Miriam" w:hAnsi="Miriam" w:cs="Miriam"/>
          <w:sz w:val="24"/>
          <w:szCs w:val="24"/>
          <w:rtl/>
        </w:rPr>
        <w:t>מדינת ישראל נ' חנין</w:t>
      </w:r>
      <w:r>
        <w:rPr>
          <w:rFonts w:ascii="FrankRuehl" w:hAnsi="FrankRuehl" w:cs="FrankRuehl"/>
          <w:sz w:val="28"/>
          <w:szCs w:val="28"/>
          <w:rtl/>
        </w:rPr>
        <w:t xml:space="preserve"> (30.1.2023); ת"פ (שלום י-ם) 19621-03-20 </w:t>
      </w:r>
      <w:r>
        <w:rPr>
          <w:rFonts w:ascii="Miriam" w:hAnsi="Miriam" w:cs="Miriam"/>
          <w:sz w:val="24"/>
          <w:szCs w:val="24"/>
          <w:rtl/>
        </w:rPr>
        <w:t>מדינת ישראל נ' מרעי</w:t>
      </w:r>
      <w:r>
        <w:rPr>
          <w:rFonts w:ascii="FrankRuehl" w:hAnsi="FrankRuehl" w:cs="FrankRuehl"/>
          <w:sz w:val="28"/>
          <w:szCs w:val="28"/>
          <w:rtl/>
        </w:rPr>
        <w:t xml:space="preserve"> (14.9.2022); ת"פ (שלום י-ם) 63843-04-21 </w:t>
      </w:r>
      <w:r>
        <w:rPr>
          <w:rFonts w:ascii="Miriam" w:hAnsi="Miriam" w:cs="Miriam"/>
          <w:sz w:val="24"/>
          <w:szCs w:val="24"/>
          <w:rtl/>
        </w:rPr>
        <w:t>מדינת ישראל נ' בן-יאיר</w:t>
      </w:r>
      <w:r>
        <w:rPr>
          <w:rFonts w:ascii="FrankRuehl" w:hAnsi="FrankRuehl" w:cs="FrankRuehl"/>
          <w:sz w:val="28"/>
          <w:szCs w:val="28"/>
          <w:rtl/>
        </w:rPr>
        <w:t xml:space="preserve"> (6.1.2022); ת"פ (שלום י-ם) 31932-10-18 </w:t>
      </w:r>
      <w:r>
        <w:rPr>
          <w:rFonts w:ascii="Miriam" w:hAnsi="Miriam" w:cs="Miriam"/>
          <w:sz w:val="24"/>
          <w:szCs w:val="24"/>
          <w:rtl/>
        </w:rPr>
        <w:t>מדינת ישראל נ' פלוני</w:t>
      </w:r>
      <w:r>
        <w:rPr>
          <w:rFonts w:ascii="FrankRuehl" w:hAnsi="FrankRuehl" w:cs="FrankRuehl"/>
          <w:sz w:val="28"/>
          <w:szCs w:val="28"/>
          <w:rtl/>
        </w:rPr>
        <w:t xml:space="preserve"> (22.12.2020); ת"פ (שלום י-ם) 41993-08-17 </w:t>
      </w:r>
      <w:r>
        <w:rPr>
          <w:rFonts w:ascii="Miriam" w:hAnsi="Miriam" w:cs="Miriam"/>
          <w:sz w:val="24"/>
          <w:szCs w:val="24"/>
          <w:rtl/>
        </w:rPr>
        <w:t>מדינת ישראל נ' גונן</w:t>
      </w:r>
      <w:r>
        <w:rPr>
          <w:rFonts w:ascii="FrankRuehl" w:hAnsi="FrankRuehl" w:cs="FrankRuehl"/>
          <w:sz w:val="28"/>
          <w:szCs w:val="28"/>
          <w:rtl/>
        </w:rPr>
        <w:t xml:space="preserve"> (2.4.2019); ת"פ (שלום רמלה) 42624-01-18‏ ‏ </w:t>
      </w:r>
      <w:r>
        <w:rPr>
          <w:rFonts w:ascii="Miriam" w:hAnsi="Miriam" w:cs="Miriam"/>
          <w:sz w:val="24"/>
          <w:szCs w:val="24"/>
          <w:rtl/>
        </w:rPr>
        <w:t>מדינת ישראל נ' אסף</w:t>
      </w:r>
      <w:r>
        <w:rPr>
          <w:rFonts w:ascii="FrankRuehl" w:hAnsi="FrankRuehl" w:cs="FrankRuehl"/>
          <w:sz w:val="28"/>
          <w:szCs w:val="28"/>
          <w:rtl/>
        </w:rPr>
        <w:t xml:space="preserve"> (24.1.2019)).</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שאינן קשורות בביצוע העבירות</w:t>
      </w:r>
      <w:r>
        <w:rPr>
          <w:rFonts w:ascii="FrankRuehl" w:hAnsi="FrankRuehl" w:cs="FrankRuehl"/>
          <w:sz w:val="28"/>
          <w:szCs w:val="28"/>
          <w:rtl/>
        </w:rPr>
        <w:t>: הנאשם בתחילת שנות ה-30 לחייו. כמתואר בתסקירים, נסיבות חייו וצעירותו, לא היו קלים (בלשון המעטה). בצעירותו, משפחתו עברה אירוע טראגי קשה והוא עצמו עבר תקופות קשות בחייו. כיום, הוא נשוי ועובד למחייתו באופן יצרני ונורמטיבי. הנאשם גם הביע נכונות להשתתף בהליך טיפולי תוך גילוי מוטיבציה חיובית לאפיק שיקומי. זאת ועוד, ממועד ביצוע העבירה ועד היום, לא נפתחו נגדו תיקים חדשים, ובכל מקרה ניתנת הדעת לחלוף התקופה ממועד ביצוע העבירה ועד היום כנסיבה מקלה. כל אלה, נזקפים למידת הרחמים בעונש.</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לאחר שהוכרע דינו, הביע הנאשם חרטה על מעשיו. ניתנת הדעת עוד גם לגרסתו במשפט, אשר בחלקים לא מעטים ממנה, הוא למעשה לא הרחיק את עצמו מהמעשים ומחומרתם. הנאשם ניהל את ההליך המשפטי עד תום, ובתוך כך גם עלתה המתלוננת על דוכן העדים ותיארה את אשר עברה, על כל החוויה הרגשית הנלווית לכך. כמובן, זכותו של נאשם לנהל </w:t>
      </w:r>
      <w:r>
        <w:rPr>
          <w:rFonts w:ascii="FrankRuehl" w:hAnsi="FrankRuehl" w:cs="FrankRuehl"/>
          <w:sz w:val="28"/>
          <w:szCs w:val="28"/>
          <w:rtl/>
        </w:rPr>
        <w:lastRenderedPageBreak/>
        <w:t xml:space="preserve">את הגנתו ולהוכיח את חפותו. אין לזקוף את ניהול המשפט לחובתו (רע"פ 9004/18 </w:t>
      </w:r>
      <w:r>
        <w:rPr>
          <w:rFonts w:ascii="Miriam" w:hAnsi="Miriam" w:cs="Miriam"/>
          <w:sz w:val="24"/>
          <w:szCs w:val="24"/>
          <w:rtl/>
        </w:rPr>
        <w:t>יצחקי נ' מדינת ישראל</w:t>
      </w:r>
      <w:r>
        <w:rPr>
          <w:rFonts w:ascii="FrankRuehl" w:hAnsi="FrankRuehl" w:cs="FrankRuehl"/>
          <w:sz w:val="28"/>
          <w:szCs w:val="28"/>
          <w:rtl/>
        </w:rPr>
        <w:t xml:space="preserve"> (31.12.2018)). אך לצד זאת, ככלל, בכגון-דא, הוא לא יהיה זכאי ל"הנחה" של המודה ועוזב, אשר מצא ליטול אחריות לפני שמיעת העדויות, תוך חיסכון בזמן ובמשאבים, לרבות שמיעת עדות קורבן העבירה.</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שמעתי אמנם את התנצלות הנאשם על מעשיו. לזה ניתן משקל מסוים לקולת העונש. לצד זאת, אבהיר כי לא התרשמתי מכנות עמוקה להתנצלות זו. שכן נזכיר, גם תוך ביצוע מעשהו במתלוננת, כבר בפעם הראשונה ולאחר שדרשה ממנו כי יפסיק לגעת בגופה, הוא התנצל לפניה. ואולם, זמן קצר לאחר מכן, הוא שב לסורו ונגע בחלקים שונים בגופה ונישק אותה בניגוד להסכמתה.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לחומרת העונש ניתנת הדעת להרשעותיו הקודמות של הנאשם. כעולה מתדפיס הרישום הפלילי שהוצג בעניינו (ת/1), הוא הורשע בשנת 2015 בבית המשפט המחוזי בביצוע מספר עבירות חמורות, בגינן הושתו עליו 40 חודשי מאסר (החלטה בערעור שהגישה המדינה לבית המשפט העליון). בהמשך, הוא הורשע בשנת 2016 בהחזקת סכין, וגם במקרה זה, הושת עליו מאסר בפועל. בשנת 2019 (כשנה לפני ביצוע העבירה מושא האישום), הוא הורשע בגין התנהגות פרועה במקום ציבורי. בגין זאת, הושתה עליו ענישה צופת פני עתיד בלבד. </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נכון, עברו של הנאשם אינו כולל עבירות מין. עם זאת, הוא כולל ביצוע עבירות חמורות, אשר הקו המאפיין שלהן, הוא אלימות וכוחניות. למרות הרשעותיו העוקבות והסמוכות יחסית חרף גילו הצעיר, ולמרות מאסרו הממושך, כל זה לא הרתיע אותו מפני ביצוע עבירות מין בקטינה הכפופה למרותו. האמור אף עולה בקנה אחד, עם הערכת המסוכנות וגם התסקיר (שהדגיש את הצורך באפיק טיפולי), אשר הצביעו על קשייו בזיהוי ומניעת מצבי סיכון, קשיי התובנה אצלו לתפיסות המוטעות שבבסיס התנהגותו הפוגענית, וגם הצורך בהצבת גבולות ברורים.</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בשקלול של כל האמור, אני סבור כי יש למקֵם את עונשו של הנאשם בחלק העליון של המחצית התחתונה במתחם שקבעתי לעיל, באופן זה – כפי שאנמק מיד – יושת עליו עונש מאסר אשר חלקו המשמעותי ירוצה מאחורי סורג ובריח, וחלקו האחר יהיה צופה פני עתיד.</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לדידי, הן לשם הרתעת היחיד, הן לשם הרתעת הרבים, זאת תוך מתן דגש לטיב העבירה ונסיבות ביצועה (גיל הקטִינוּת של הקורבן, מקום העבודה כמרחב בטוח, וההגנה מפני ניצול פערי הגילים והכוחות), אין בידי בנסיבות אלו, להיעתר להמלצת שירות המבחן ולהסתפק בענישה בדמות עבודות שירות. אני סבור, וכמתחייב מן הפסיקה המנחה, בהתחשב במכלול הנסיבות לעיל, מתבקשת ענישה ברורה ומרתיעה. בע"פ 3169/16 </w:t>
      </w:r>
      <w:r>
        <w:rPr>
          <w:rFonts w:ascii="Miriam" w:hAnsi="Miriam" w:cs="Miriam"/>
          <w:sz w:val="24"/>
          <w:szCs w:val="24"/>
          <w:rtl/>
        </w:rPr>
        <w:t>סטפאנס נ' מדינת ישראל</w:t>
      </w:r>
      <w:r>
        <w:rPr>
          <w:rFonts w:ascii="FrankRuehl" w:hAnsi="FrankRuehl" w:cs="FrankRuehl"/>
          <w:sz w:val="28"/>
          <w:szCs w:val="28"/>
          <w:rtl/>
        </w:rPr>
        <w:t xml:space="preserve"> (21.12.2016), שם נקבע בפסקה 9, כי מדיניות הענישה בעבירות מין, צריכה להיות מחמירה ולבטא הן את נזקי הקורבן, הן "</w:t>
      </w:r>
      <w:r>
        <w:rPr>
          <w:rFonts w:ascii="Miriam" w:hAnsi="Miriam" w:cs="Miriam"/>
          <w:sz w:val="24"/>
          <w:szCs w:val="24"/>
          <w:rtl/>
        </w:rPr>
        <w:t>האינטרס הציבורי בהרתעתם של עברייני מין פוטנציאליים ממימוש מזימותיהם</w:t>
      </w:r>
      <w:r>
        <w:rPr>
          <w:rFonts w:ascii="FrankRuehl" w:hAnsi="FrankRuehl" w:cs="FrankRuehl"/>
          <w:sz w:val="28"/>
          <w:szCs w:val="28"/>
          <w:rtl/>
        </w:rPr>
        <w:t xml:space="preserve">" (ראו גם: ע"פ 8755/23 </w:t>
      </w:r>
      <w:r>
        <w:rPr>
          <w:rFonts w:ascii="Miriam" w:hAnsi="Miriam" w:cs="Miriam"/>
          <w:sz w:val="24"/>
          <w:szCs w:val="24"/>
          <w:rtl/>
        </w:rPr>
        <w:t>תנעמי נ' מדינת ישראל</w:t>
      </w:r>
      <w:r>
        <w:rPr>
          <w:rFonts w:ascii="FrankRuehl" w:hAnsi="FrankRuehl" w:cs="FrankRuehl"/>
          <w:sz w:val="28"/>
          <w:szCs w:val="28"/>
          <w:rtl/>
        </w:rPr>
        <w:t xml:space="preserve"> (11.7.2024)).</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חשוב לזכור, אמנם מעשי הנאשם לא כללו אלימות, איומים או בּיזוי, אך מעשים מן הסוג הזה, הם קלי ביצוע וקשי הוכחה כאשר לעתים קרובות, אין בנמצא עדים ישירים להם זולת התוקף והמותקף, ולא מן הנמנע כי עקב זאת, אין ממהרים להתלונן. הדברים עולים במורכבותם כאשר פערי הכוחות בין התוקף לקורבן הם שונים, ולעתים משמעותיים מאוד. אין הדעת סובלת, כי אדם, כל אדם, שיכול להיות זה היקר לנו ביותר, יהיה אובייקט לשליחת ידיים ונגיעות בגופו, בניגוד לרצונו, רק משום שהתוקף בחר בכך. החיים הראו כי מעשים דומים לאלה שביצע הנאשם, לדאבון הלב, יכולים להתרחש בכל מקום, במרחב הסגור וגם הפתוח, במונית, באוטובוס, בעבודה, בבית הספר, בתחנת המשטרה, ואף במעלית. יש להרתיע אפוא מפני מעשים אלה, והדברים יפים שבעתיים, כאשר הקורבן הפוטנציאלי הוא קטין, שלעתים קרובות נמצא בעמדה נחותה משמעותית מזו של התוקף.</w:t>
      </w:r>
    </w:p>
    <w:p w:rsidR="00D416E6" w:rsidRDefault="00D416E6" w:rsidP="00D416E6">
      <w:pPr>
        <w:pStyle w:val="ab"/>
        <w:spacing w:after="0" w:line="360" w:lineRule="auto"/>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כפי שעלה מעדות המתלוננת במשפט, מאז האירוע שחוותה, היא נמנעת מעבודה במקום סגור או ביחידוּת עם גבר, דבר שמצביע על מידת הפגיעה אצלה בתחושת הביטחון האישי, ואידך זיל גמור.</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אשר לרכיב הפיצוי, נתתי את דעתי לטיעוני הצדדים בנדון. המאשימה לא הגישה תצהיר של נפגעת העבירה וגם לא תימוכין אודות הטיפולים הנפשיים שהיא עברה כעולה מעדותה. למרות האמור, משהוכחו המעשים וחומרתם, נסיבות המקרה מחייבות פיצוי לקורבן, זאת גם מתוך הכרה חברתית בסבלה כקורבן ולשם הרתעה מפני חזרה על מעשים דומים בעתיד (ראו והשוו: ע"פ 8745/08 </w:t>
      </w:r>
      <w:r>
        <w:rPr>
          <w:rFonts w:ascii="Miriam" w:hAnsi="Miriam" w:cs="Miriam"/>
          <w:sz w:val="24"/>
          <w:szCs w:val="24"/>
          <w:rtl/>
        </w:rPr>
        <w:t>פלוני נ' מדינת ישראל</w:t>
      </w:r>
      <w:r>
        <w:rPr>
          <w:rFonts w:ascii="FrankRuehl" w:hAnsi="FrankRuehl" w:cs="FrankRuehl"/>
          <w:sz w:val="28"/>
          <w:szCs w:val="28"/>
          <w:rtl/>
        </w:rPr>
        <w:t xml:space="preserve"> (30.11.2011); ע"פ 7895/04 </w:t>
      </w:r>
      <w:r>
        <w:rPr>
          <w:rFonts w:ascii="Miriam" w:hAnsi="Miriam" w:cs="Miriam"/>
          <w:sz w:val="24"/>
          <w:szCs w:val="24"/>
          <w:rtl/>
        </w:rPr>
        <w:t>פלוני נ' מדינת ישראל</w:t>
      </w:r>
      <w:r>
        <w:rPr>
          <w:rFonts w:ascii="FrankRuehl" w:hAnsi="FrankRuehl" w:cs="FrankRuehl"/>
          <w:sz w:val="28"/>
          <w:szCs w:val="28"/>
          <w:rtl/>
        </w:rPr>
        <w:t xml:space="preserve"> (2.8.2006)).</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בית המשפט בחן את בקשת שירות המבחן לאורכה נוספת על מנת לאפשר מיצוי של הליך טיפולי עבור הנאשם. הבקשה מובנת והליך טיפולי הוא צעד מבורך בהינתן רמת המסוכנות המוערכת בעניינו. ברם, נוכח חומרת המעשה ובהינתן הענישה הנוהגת והנסיבות שעמדתי עליהם לעיל, הענישה ההולמת מחייבת מאסר מאחורי סורג ובריח, וחזקה כי התהליך הטיפולי-שיקומי, יקבל הנאשם תוך ריצוי עונשו. נזכיר בהקשר זה, כי שיקום אינו "</w:t>
      </w:r>
      <w:r>
        <w:rPr>
          <w:rFonts w:ascii="Miriam" w:hAnsi="Miriam" w:cs="Miriam"/>
          <w:sz w:val="24"/>
          <w:szCs w:val="24"/>
          <w:rtl/>
        </w:rPr>
        <w:t>מילת קסם</w:t>
      </w:r>
      <w:r>
        <w:rPr>
          <w:rFonts w:ascii="FrankRuehl" w:hAnsi="FrankRuehl" w:cs="FrankRuehl"/>
          <w:sz w:val="28"/>
          <w:szCs w:val="28"/>
          <w:rtl/>
        </w:rPr>
        <w:t xml:space="preserve">" (רע"פ 3406/24 </w:t>
      </w:r>
      <w:r>
        <w:rPr>
          <w:rFonts w:ascii="Miriam" w:hAnsi="Miriam" w:cs="Miriam"/>
          <w:sz w:val="24"/>
          <w:szCs w:val="24"/>
          <w:rtl/>
        </w:rPr>
        <w:t>פלוני נ' מדינת ישראל</w:t>
      </w:r>
      <w:r>
        <w:rPr>
          <w:rFonts w:ascii="FrankRuehl" w:hAnsi="FrankRuehl" w:cs="FrankRuehl"/>
          <w:sz w:val="28"/>
          <w:szCs w:val="28"/>
          <w:rtl/>
        </w:rPr>
        <w:t xml:space="preserve">, פסקה 11 (21.4.2024); בש"פ 3277/24 </w:t>
      </w:r>
      <w:r>
        <w:rPr>
          <w:rFonts w:ascii="Miriam" w:hAnsi="Miriam" w:cs="Miriam"/>
          <w:sz w:val="24"/>
          <w:szCs w:val="24"/>
          <w:rtl/>
        </w:rPr>
        <w:t>אלהואשלה נ' מדינת ישראל</w:t>
      </w:r>
      <w:r>
        <w:rPr>
          <w:rFonts w:ascii="FrankRuehl" w:hAnsi="FrankRuehl" w:cs="FrankRuehl"/>
          <w:sz w:val="28"/>
          <w:szCs w:val="28"/>
          <w:rtl/>
        </w:rPr>
        <w:t xml:space="preserve">, פסקה 12 (16.4.2024)), ובכל מקרה, המלצת שירות המבחן אינה מחייבת את בית המשפט אך היא נבחנת במכלול השיקולים בגזירת הדין (רע"פ 8216/16 </w:t>
      </w:r>
      <w:r>
        <w:rPr>
          <w:rFonts w:ascii="Miriam" w:hAnsi="Miriam" w:cs="Miriam"/>
          <w:sz w:val="24"/>
          <w:szCs w:val="24"/>
          <w:rtl/>
        </w:rPr>
        <w:t>יצחק נ' מדינת ישראל</w:t>
      </w:r>
      <w:r>
        <w:rPr>
          <w:rFonts w:ascii="FrankRuehl" w:hAnsi="FrankRuehl" w:cs="FrankRuehl"/>
          <w:sz w:val="28"/>
          <w:szCs w:val="28"/>
          <w:rtl/>
        </w:rPr>
        <w:t>, פסקה 14 (29.3.2017)). מכאן החובה לבחון את מכלול הנתונים בהיתוך והרמוניה.</w:t>
      </w:r>
    </w:p>
    <w:p w:rsidR="00D416E6" w:rsidRDefault="00D416E6" w:rsidP="00D416E6">
      <w:pPr>
        <w:spacing w:line="360" w:lineRule="auto"/>
        <w:jc w:val="both"/>
        <w:rPr>
          <w:rFonts w:ascii="FrankRuehl" w:hAnsi="FrankRuehl" w:cs="FrankRuehl"/>
          <w:sz w:val="28"/>
          <w:szCs w:val="28"/>
          <w:rtl/>
        </w:rPr>
      </w:pPr>
    </w:p>
    <w:p w:rsidR="00D416E6" w:rsidRDefault="00D416E6" w:rsidP="00D416E6">
      <w:pPr>
        <w:spacing w:line="360" w:lineRule="auto"/>
        <w:jc w:val="both"/>
        <w:rPr>
          <w:rFonts w:ascii="FrankRuehl" w:hAnsi="FrankRuehl" w:cs="FrankRuehl"/>
          <w:sz w:val="28"/>
          <w:szCs w:val="28"/>
          <w:rtl/>
        </w:rPr>
      </w:pPr>
      <w:r>
        <w:rPr>
          <w:rFonts w:ascii="Miriam" w:hAnsi="Miriam" w:cs="Miriam"/>
          <w:u w:val="single"/>
          <w:rtl/>
        </w:rPr>
        <w:t>סיכום</w:t>
      </w:r>
    </w:p>
    <w:p w:rsidR="00D416E6" w:rsidRDefault="00D416E6" w:rsidP="00D416E6">
      <w:pPr>
        <w:spacing w:line="360" w:lineRule="auto"/>
        <w:jc w:val="both"/>
        <w:rPr>
          <w:rFonts w:ascii="FrankRuehl" w:hAnsi="FrankRuehl" w:cs="FrankRuehl"/>
          <w:sz w:val="28"/>
          <w:szCs w:val="28"/>
          <w:rtl/>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לאחר שקלול של כל האמור, משית על הנאשם את העונשים הבאים:</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אחד-עשר (11) חודשי מאסר בפועל. תחילת ריצוי העונש – </w:t>
      </w:r>
      <w:r>
        <w:rPr>
          <w:rFonts w:ascii="FrankRuehl" w:hAnsi="FrankRuehl" w:cs="FrankRuehl"/>
          <w:sz w:val="28"/>
          <w:szCs w:val="28"/>
          <w:u w:val="single"/>
          <w:rtl/>
        </w:rPr>
        <w:t>10.11.2024</w:t>
      </w:r>
      <w:r>
        <w:rPr>
          <w:rFonts w:ascii="FrankRuehl" w:hAnsi="FrankRuehl" w:cs="FrankRuehl"/>
          <w:sz w:val="28"/>
          <w:szCs w:val="28"/>
          <w:rtl/>
        </w:rPr>
        <w:t xml:space="preserve">. </w:t>
      </w:r>
    </w:p>
    <w:p w:rsidR="00D416E6" w:rsidRDefault="00D416E6" w:rsidP="00D416E6">
      <w:pPr>
        <w:pStyle w:val="ab"/>
        <w:spacing w:after="0" w:line="360" w:lineRule="auto"/>
        <w:ind w:left="1080"/>
        <w:jc w:val="both"/>
        <w:rPr>
          <w:rFonts w:ascii="FrankRuehl" w:hAnsi="FrankRuehl" w:cs="FrankRuehl"/>
          <w:sz w:val="28"/>
          <w:szCs w:val="28"/>
        </w:rPr>
      </w:pPr>
    </w:p>
    <w:p w:rsidR="00D416E6" w:rsidRDefault="00D416E6" w:rsidP="00D416E6">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שלושה (3) חודשי מאסר שירוצו ככל שהנאשם יעבור עבירת מין, לרבות לפי </w:t>
      </w:r>
      <w:r>
        <w:rPr>
          <w:rFonts w:ascii="Miriam" w:hAnsi="Miriam" w:cs="Miriam"/>
          <w:sz w:val="24"/>
          <w:szCs w:val="24"/>
          <w:rtl/>
        </w:rPr>
        <w:t>חוק מניעת הטרדה מינית</w:t>
      </w:r>
      <w:r>
        <w:rPr>
          <w:rFonts w:ascii="FrankRuehl" w:hAnsi="FrankRuehl" w:cs="FrankRuehl"/>
          <w:sz w:val="28"/>
          <w:szCs w:val="28"/>
          <w:rtl/>
        </w:rPr>
        <w:t>, תוך שלוש (3) שנים מיום שחרורו.</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801F4E">
      <w:pPr>
        <w:pStyle w:val="ab"/>
        <w:numPr>
          <w:ilvl w:val="0"/>
          <w:numId w:val="4"/>
        </w:numPr>
        <w:spacing w:after="0" w:line="360" w:lineRule="auto"/>
        <w:jc w:val="both"/>
        <w:rPr>
          <w:rFonts w:ascii="FrankRuehl" w:hAnsi="FrankRuehl" w:cs="FrankRuehl"/>
          <w:sz w:val="28"/>
          <w:szCs w:val="28"/>
          <w:rtl/>
        </w:rPr>
      </w:pPr>
      <w:r>
        <w:rPr>
          <w:rFonts w:ascii="FrankRuehl" w:hAnsi="FrankRuehl" w:cs="FrankRuehl"/>
          <w:sz w:val="28"/>
          <w:szCs w:val="28"/>
          <w:rtl/>
        </w:rPr>
        <w:t>הנאשם יפצה את המתלוננת בסך 6,000 ₪ אשר ישולם לה בשלושה (3) תשלומים חודשיים שווים ועוקבים. התשלום הראשון יבוצע עד יום 1</w:t>
      </w:r>
      <w:r w:rsidR="00801F4E">
        <w:rPr>
          <w:rFonts w:ascii="FrankRuehl" w:hAnsi="FrankRuehl" w:cs="FrankRuehl" w:hint="cs"/>
          <w:sz w:val="28"/>
          <w:szCs w:val="28"/>
          <w:rtl/>
        </w:rPr>
        <w:t>0</w:t>
      </w:r>
      <w:r>
        <w:rPr>
          <w:rFonts w:ascii="FrankRuehl" w:hAnsi="FrankRuehl" w:cs="FrankRuehl"/>
          <w:sz w:val="28"/>
          <w:szCs w:val="28"/>
          <w:rtl/>
        </w:rPr>
        <w:t>.1</w:t>
      </w:r>
      <w:r w:rsidR="00801F4E">
        <w:rPr>
          <w:rFonts w:ascii="FrankRuehl" w:hAnsi="FrankRuehl" w:cs="FrankRuehl" w:hint="cs"/>
          <w:sz w:val="28"/>
          <w:szCs w:val="28"/>
          <w:rtl/>
        </w:rPr>
        <w:t>1</w:t>
      </w:r>
      <w:r>
        <w:rPr>
          <w:rFonts w:ascii="FrankRuehl" w:hAnsi="FrankRuehl" w:cs="FrankRuehl"/>
          <w:sz w:val="28"/>
          <w:szCs w:val="28"/>
          <w:rtl/>
        </w:rPr>
        <w:t xml:space="preserve">.2024, וכל חלק נוסף, </w:t>
      </w:r>
      <w:r>
        <w:rPr>
          <w:rFonts w:ascii="FrankRuehl" w:hAnsi="FrankRuehl" w:cs="FrankRuehl"/>
          <w:sz w:val="28"/>
          <w:szCs w:val="28"/>
          <w:rtl/>
        </w:rPr>
        <w:lastRenderedPageBreak/>
        <w:t>ישולם עד יום ה-</w:t>
      </w:r>
      <w:r w:rsidR="00801F4E">
        <w:rPr>
          <w:rFonts w:ascii="FrankRuehl" w:hAnsi="FrankRuehl" w:cs="FrankRuehl" w:hint="cs"/>
          <w:sz w:val="28"/>
          <w:szCs w:val="28"/>
          <w:rtl/>
        </w:rPr>
        <w:t>10</w:t>
      </w:r>
      <w:r>
        <w:rPr>
          <w:rFonts w:ascii="FrankRuehl" w:hAnsi="FrankRuehl" w:cs="FrankRuehl"/>
          <w:sz w:val="28"/>
          <w:szCs w:val="28"/>
          <w:rtl/>
        </w:rPr>
        <w:t xml:space="preserve"> בחודש העוקב. באחריות המאשימה לעדכן את המתלוננת בהוראה זו שבגזר הדין.</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לצורך תשלום הפיצוי, באחריות הנאשם לבדוק את אפשרויות התשלום במרכז לגביית קנסות אגרות והוצאות, באמצעות אתר האינטרנט של רשות האכיפה והגבייה. התשלום יכול להתבצע באמצעות המוקד הטלפוני (35592*), כרטיס אשראי או במזומן בדואר.</w:t>
      </w:r>
    </w:p>
    <w:p w:rsidR="00D416E6" w:rsidRDefault="00D416E6" w:rsidP="00D416E6">
      <w:pPr>
        <w:pStyle w:val="ab"/>
        <w:spacing w:after="0"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Pr>
      </w:pPr>
      <w:r>
        <w:rPr>
          <w:rFonts w:ascii="FrankRuehl" w:eastAsia="Times New Roman" w:hAnsi="FrankRuehl" w:cs="FrankRuehl"/>
          <w:color w:val="000000"/>
          <w:sz w:val="28"/>
          <w:szCs w:val="28"/>
          <w:rtl/>
        </w:rPr>
        <w:t>הנאשם יתאם כניסתו למאסר עם ענף אבחון ומיון של שירות בתי הסוהר: דואר אלקטרוני </w:t>
      </w:r>
      <w:r>
        <w:rPr>
          <w:rFonts w:ascii="FrankRuehl" w:eastAsia="Times New Roman" w:hAnsi="FrankRuehl" w:cs="FrankRuehl"/>
          <w:color w:val="000000"/>
          <w:sz w:val="20"/>
          <w:szCs w:val="20"/>
        </w:rPr>
        <w:t>MaasarN@ips.gov.il</w:t>
      </w:r>
      <w:r>
        <w:rPr>
          <w:rFonts w:ascii="FrankRuehl" w:eastAsia="Times New Roman" w:hAnsi="FrankRuehl" w:cs="FrankRuehl"/>
          <w:color w:val="000000"/>
          <w:sz w:val="28"/>
          <w:szCs w:val="28"/>
          <w:rtl/>
        </w:rPr>
        <w:t>, טלפון : 074-7831077 או 074-7831078.</w:t>
      </w:r>
    </w:p>
    <w:p w:rsidR="00D416E6" w:rsidRDefault="00D416E6" w:rsidP="00D416E6">
      <w:pPr>
        <w:spacing w:line="360" w:lineRule="auto"/>
        <w:jc w:val="both"/>
        <w:rPr>
          <w:rFonts w:ascii="FrankRuehl" w:hAnsi="FrankRuehl" w:cs="FrankRuehl"/>
          <w:sz w:val="28"/>
          <w:szCs w:val="28"/>
        </w:rPr>
      </w:pPr>
    </w:p>
    <w:p w:rsidR="00D416E6" w:rsidRDefault="00D416E6" w:rsidP="00D416E6">
      <w:pPr>
        <w:pStyle w:val="ab"/>
        <w:numPr>
          <w:ilvl w:val="0"/>
          <w:numId w:val="3"/>
        </w:numPr>
        <w:spacing w:after="0" w:line="360" w:lineRule="auto"/>
        <w:ind w:hanging="636"/>
        <w:jc w:val="both"/>
        <w:rPr>
          <w:rFonts w:ascii="FrankRuehl" w:hAnsi="FrankRuehl" w:cs="FrankRuehl"/>
          <w:sz w:val="28"/>
          <w:szCs w:val="28"/>
          <w:rtl/>
        </w:rPr>
      </w:pPr>
      <w:r>
        <w:rPr>
          <w:rFonts w:ascii="FrankRuehl" w:eastAsia="Times New Roman" w:hAnsi="FrankRuehl" w:cs="FrankRuehl"/>
          <w:color w:val="000000"/>
          <w:sz w:val="28"/>
          <w:szCs w:val="28"/>
          <w:rtl/>
        </w:rPr>
        <w:t xml:space="preserve">ככל שלא יקבל הנאשם הנחיה אחרת, עליו להתייצב לריצוי עונשו </w:t>
      </w:r>
      <w:r>
        <w:rPr>
          <w:rFonts w:ascii="FrankRuehl" w:eastAsia="Times New Roman" w:hAnsi="FrankRuehl" w:cs="FrankRuehl"/>
          <w:color w:val="000000"/>
          <w:sz w:val="28"/>
          <w:szCs w:val="28"/>
          <w:u w:val="single"/>
          <w:rtl/>
        </w:rPr>
        <w:t>ביום 10.11.2024 עד השעה 9:00</w:t>
      </w:r>
      <w:r>
        <w:rPr>
          <w:rFonts w:ascii="FrankRuehl" w:eastAsia="Times New Roman" w:hAnsi="FrankRuehl" w:cs="FrankRuehl"/>
          <w:color w:val="000000"/>
          <w:sz w:val="28"/>
          <w:szCs w:val="28"/>
          <w:rtl/>
        </w:rPr>
        <w:t xml:space="preserve"> במתקן המעצר בכלא ניצן ברמלה עם תעודה מזהה והעתק של גזר הדין.</w:t>
      </w:r>
    </w:p>
    <w:p w:rsidR="00D416E6" w:rsidRDefault="00D416E6" w:rsidP="00D416E6">
      <w:pPr>
        <w:spacing w:line="360" w:lineRule="auto"/>
        <w:jc w:val="both"/>
        <w:rPr>
          <w:rFonts w:ascii="FrankRuehl" w:hAnsi="FrankRuehl" w:cs="FrankRuehl"/>
          <w:sz w:val="28"/>
          <w:szCs w:val="28"/>
          <w:rtl/>
        </w:rPr>
      </w:pPr>
    </w:p>
    <w:p w:rsidR="00D416E6" w:rsidRDefault="00D416E6" w:rsidP="00D416E6">
      <w:pPr>
        <w:spacing w:line="360" w:lineRule="auto"/>
        <w:jc w:val="both"/>
        <w:rPr>
          <w:rFonts w:ascii="FrankRuehl" w:hAnsi="FrankRuehl" w:cs="FrankRuehl"/>
          <w:sz w:val="28"/>
          <w:szCs w:val="28"/>
          <w:rtl/>
        </w:rPr>
      </w:pPr>
      <w:r>
        <w:rPr>
          <w:rFonts w:ascii="FrankRuehl" w:hAnsi="FrankRuehl" w:cs="FrankRuehl"/>
          <w:sz w:val="28"/>
          <w:szCs w:val="28"/>
          <w:rtl/>
        </w:rPr>
        <w:t>זכות ערעור לבית המשפט המחוזי בירושלים תוך 45 יום.</w:t>
      </w:r>
    </w:p>
    <w:p w:rsidR="00D416E6" w:rsidRDefault="00D416E6" w:rsidP="00D416E6">
      <w:pPr>
        <w:spacing w:line="360" w:lineRule="auto"/>
        <w:jc w:val="both"/>
        <w:rPr>
          <w:rFonts w:ascii="FrankRuehl" w:hAnsi="FrankRuehl" w:cs="FrankRuehl"/>
          <w:sz w:val="28"/>
          <w:szCs w:val="28"/>
          <w:rtl/>
        </w:rPr>
      </w:pPr>
    </w:p>
    <w:p w:rsidR="00507694" w:rsidRPr="000F2247" w:rsidRDefault="00D416E6" w:rsidP="00D416E6">
      <w:pPr>
        <w:rPr>
          <w:rFonts w:ascii="Arial" w:hAnsi="Arial"/>
          <w:b/>
          <w:bCs/>
          <w:sz w:val="26"/>
          <w:szCs w:val="26"/>
          <w:rtl/>
        </w:rPr>
      </w:pPr>
      <w:r>
        <w:rPr>
          <w:rFonts w:ascii="FrankRuehl" w:hAnsi="FrankRuehl" w:cs="FrankRuehl"/>
          <w:sz w:val="28"/>
          <w:szCs w:val="28"/>
          <w:u w:val="single"/>
          <w:rtl/>
        </w:rPr>
        <w:t>המזכירות - להודיע לשב"ס, לשירות המבחן ולמרכז להערכת מסוכנות.</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D416E6">
      <w:pPr>
        <w:spacing w:line="360" w:lineRule="auto"/>
        <w:jc w:val="both"/>
        <w:rPr>
          <w:rFonts w:ascii="Arial" w:hAnsi="Arial"/>
          <w:b/>
          <w:bCs/>
          <w:sz w:val="26"/>
          <w:szCs w:val="26"/>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י"ב אלול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15 ספטמבר 2024</w:t>
          </w:r>
        </w:sdtContent>
      </w:sdt>
      <w:r w:rsidR="00D416E6">
        <w:rPr>
          <w:rFonts w:ascii="Arial" w:hAnsi="Arial" w:hint="cs"/>
          <w:b/>
          <w:bCs/>
          <w:sz w:val="26"/>
          <w:szCs w:val="26"/>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766779295"/>
        </w:sdtPr>
        <w:sdtEndPr/>
        <w:sdtContent>
          <w:r w:rsidR="00947F90">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31E" w:rsidRDefault="00E5031E">
      <w:r>
        <w:separator/>
      </w:r>
    </w:p>
  </w:endnote>
  <w:endnote w:type="continuationSeparator" w:id="0">
    <w:p w:rsidR="00E5031E" w:rsidRDefault="00E5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7F6974">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7F6974">
      <w:rPr>
        <w:noProof/>
        <w:rtl/>
      </w:rPr>
      <w:t>12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974" w:rsidRDefault="007F697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31E" w:rsidRDefault="00E5031E">
      <w:r>
        <w:separator/>
      </w:r>
    </w:p>
  </w:footnote>
  <w:footnote w:type="continuationSeparator" w:id="0">
    <w:p w:rsidR="00E5031E" w:rsidRDefault="00E50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974" w:rsidRDefault="007F69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7"/>
      <w:gridCol w:w="3568"/>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E5031E">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1" w:name="_GoBack"/>
          <w:sdt>
            <w:sdtPr>
              <w:rPr>
                <w:rtl/>
              </w:rPr>
              <w:alias w:val="1171"/>
              <w:tag w:val="1171"/>
              <w:id w:val="-1870053316"/>
              <w:text w:multiLine="1"/>
            </w:sdtPr>
            <w:sdtEndPr/>
            <w:sdtContent>
              <w:r w:rsidR="00D33BE7">
                <w:rPr>
                  <w:rFonts w:cs="FrankRuehl"/>
                  <w:sz w:val="28"/>
                  <w:szCs w:val="28"/>
                  <w:rtl/>
                </w:rPr>
                <w:t>4302-04-22</w:t>
              </w:r>
            </w:sdtContent>
          </w:sdt>
          <w:bookmarkEnd w:id="1"/>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גבאי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974" w:rsidRDefault="007F69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6151081"/>
    <w:multiLevelType w:val="hybridMultilevel"/>
    <w:tmpl w:val="A3D805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E271F06"/>
    <w:multiLevelType w:val="hybridMultilevel"/>
    <w:tmpl w:val="868C43EA"/>
    <w:lvl w:ilvl="0" w:tplc="8AE02B6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770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77073&amp;lt;/CaseID&amp;gt;_x000d__x000a_        &amp;lt;CaseMonth&amp;gt;4&amp;lt;/CaseMonth&amp;gt;_x000d__x000a_        &amp;lt;CaseYear&amp;gt;2022&amp;lt;/CaseYear&amp;gt;_x000d__x000a_        &amp;lt;CaseNumber&amp;gt;4302&amp;lt;/CaseNumber&amp;gt;_x000d__x000a_        &amp;lt;NumeratorGroupID&amp;gt;1&amp;lt;/NumeratorGroupID&amp;gt;_x000d__x000a_        &amp;lt;CaseName&amp;gt;מדינת ישראל נ&amp;#39; גבא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302-04-22&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4-04T08:52: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כ&amp;quot;ד מותרת בפרסום נשלחה בקובץ וורד לדובר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77073&amp;lt;/CaseID&amp;gt;_x000d__x000a_        &amp;lt;CaseMonth&amp;gt;4&amp;lt;/CaseMonth&amp;gt;_x000d__x000a_        &amp;lt;CaseYear&amp;gt;2022&amp;lt;/CaseYear&amp;gt;_x000d__x000a_        &amp;lt;CaseNumber&amp;gt;4302&amp;lt;/CaseNumber&amp;gt;_x000d__x000a_        &amp;lt;NumeratorGroupID&amp;gt;1&amp;lt;/NumeratorGroupID&amp;gt;_x000d__x000a_        &amp;lt;CaseName&amp;gt;מדינת ישראל נ&amp;#39; גבא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302-04-22&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150&amp;lt;/CaseNextDeterminingTask&amp;gt;_x000d__x000a_        &amp;lt;CaseOpenDate&amp;gt;2022-04-04T08:52: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כ&amp;quot;ד מותרת בפרסום נשלחה בקובץ וורד לדובר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88635&amp;lt;/DecisionID&amp;gt;_x000d__x000a_        &amp;lt;DecisionName&amp;gt;גזר דין  שניתנה ע&amp;quot;י  מוחמד חאג&amp;#39; יחיא&amp;lt;/DecisionName&amp;gt;_x000d__x000a_        &amp;lt;DecisionStatusID&amp;gt;1&amp;lt;/DecisionStatusID&amp;gt;_x000d__x000a_        &amp;lt;DecisionStatusChangeDate&amp;gt;2024-09-15T08:28:03.583+03:00&amp;lt;/DecisionStatusChangeDate&amp;gt;_x000d__x000a_        &amp;lt;DecisionSignatureDate&amp;gt;2024-09-15T08:25:24.683+03:00&amp;lt;/DecisionSignatureDate&amp;gt;_x000d__x000a_        &amp;lt;DecisionSignatureUserID&amp;gt;036186385@GOV.IL&amp;lt;/DecisionSignatureUserID&amp;gt;_x000d__x000a_        &amp;lt;DecisionCreateDate&amp;gt;2024-09-15T08:27:54.713+03:00&amp;lt;/DecisionCreateDate&amp;gt;_x000d__x000a_        &amp;lt;DecisionChangeDate&amp;gt;2024-09-15T08:28:03.713+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50978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DecisionDisplayName&amp;gt;גזר דין  שניתנה ע&amp;quot;י  מוחמד חאג&amp;#39; יחיא&amp;lt;/DecisionDisplayName&amp;gt;_x000d__x000a_        &amp;lt;IsScanned&amp;gt;false&amp;lt;/IsScanned&amp;gt;_x000d__x000a_        &amp;lt;DecisionSignatureUserName&amp;gt;מוחמד חאג&amp;#39; יח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7&amp;lt;/DecisionNumberInCase&amp;gt;_x000d__x000a_      &amp;lt;/dt_Decision&amp;gt;_x000d__x000a_      &amp;lt;dt_DecisionCase diffgr:id=&amp;quot;dt_DecisionCase1&amp;quot; msdata:rowOrder=&amp;quot;0&amp;quot;&amp;gt;_x000d__x000a_        &amp;lt;DecisionID&amp;gt;154888635&amp;lt;/DecisionID&amp;gt;_x000d__x000a_        &amp;lt;CaseID&amp;gt;79177073&amp;lt;/CaseID&amp;gt;_x000d__x000a_        &amp;lt;IsOriginal&amp;gt;true&amp;lt;/IsOriginal&amp;gt;_x000d__x000a_        &amp;lt;IsDeleted&amp;gt;false&amp;lt;/IsDeleted&amp;gt;_x000d__x000a_        &amp;lt;CaseName&amp;gt;מדינת ישראל נ&amp;#39; גבאי&amp;lt;/CaseName&amp;gt;_x000d__x000a_        &amp;lt;CaseDisplayIdentifier&amp;gt;4302-04-22 ת&amp;quot;פ&amp;lt;/CaseDisplayIdentifier&amp;gt;_x000d__x000a_      &amp;lt;/dt_DecisionCase&amp;gt;_x000d__x000a_    &amp;lt;/DecisionDS&amp;gt;_x000d__x000a_  &amp;lt;/diffgr:diffgram&amp;gt;_x000d__x000a_&amp;lt;/DecisionDS&amp;gt;"/>
    <w:docVar w:name="DecisionID" w:val="154888635"/>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D7D8A"/>
    <w:rsid w:val="003E0C9F"/>
    <w:rsid w:val="004215DC"/>
    <w:rsid w:val="004902D6"/>
    <w:rsid w:val="00507694"/>
    <w:rsid w:val="005C7B0B"/>
    <w:rsid w:val="00683ABD"/>
    <w:rsid w:val="00684E84"/>
    <w:rsid w:val="006C2095"/>
    <w:rsid w:val="00706644"/>
    <w:rsid w:val="00757983"/>
    <w:rsid w:val="007F6974"/>
    <w:rsid w:val="00801F4E"/>
    <w:rsid w:val="00821F29"/>
    <w:rsid w:val="00822550"/>
    <w:rsid w:val="00832D73"/>
    <w:rsid w:val="008819B4"/>
    <w:rsid w:val="00947B38"/>
    <w:rsid w:val="00947F90"/>
    <w:rsid w:val="009705CC"/>
    <w:rsid w:val="00973C24"/>
    <w:rsid w:val="009A730D"/>
    <w:rsid w:val="009E35A7"/>
    <w:rsid w:val="009E49A1"/>
    <w:rsid w:val="009F504D"/>
    <w:rsid w:val="00A504C4"/>
    <w:rsid w:val="00A50ADF"/>
    <w:rsid w:val="00B05847"/>
    <w:rsid w:val="00B22E0A"/>
    <w:rsid w:val="00B240F8"/>
    <w:rsid w:val="00B92FAE"/>
    <w:rsid w:val="00BD67E7"/>
    <w:rsid w:val="00BE0015"/>
    <w:rsid w:val="00C02463"/>
    <w:rsid w:val="00C45023"/>
    <w:rsid w:val="00C55E62"/>
    <w:rsid w:val="00C572E8"/>
    <w:rsid w:val="00CD2411"/>
    <w:rsid w:val="00D202F4"/>
    <w:rsid w:val="00D3203D"/>
    <w:rsid w:val="00D33BE7"/>
    <w:rsid w:val="00D416E6"/>
    <w:rsid w:val="00E5031E"/>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D416E6"/>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41663187">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A06A0" w:rsidP="003A06A0">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A06A0"/>
    <w:rsid w:val="00604245"/>
    <w:rsid w:val="00AF3697"/>
    <w:rsid w:val="00BC2063"/>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A06A0"/>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3A06A0"/>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נחמה דינה ארנסטוף</FullName>
        <FirstName>נחמה דינה</FirstName>
        <LastName>ארנסטוף</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251036128</CasePartyID>
        <PartyTypeID>4</PartyTypeID>
        <ActivityStatusID>1</ActivityStatusID>
        <PartyAliasID>101</PartyAliasID>
        <PartyAliasName>עד בית משפט</PartyAliasName>
        <LegalEntityID>80990542</LegalEntityID>
        <CaseLegalEntityID>122909093</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תקוע 113 תקוע </FullAddress>
        <MotionID>0</MotionID>
        <CasePleaID>0</CasePleaID>
        <LinkedCaseID>0</LinkedCaseID>
        <CasePartyCategoryID>1</CasePartyCategoryID>
        <LegalEntityAddressID>87471716</LegalEntityAddressID>
        <PleaTypeID>8</PleaTypeID>
        <GroupPartyAlias/>
        <IsConverted>false</IsConverted>
        <LegalEntityNameID>94311770</LegalEntityNameID>
        <RepresentatedNamesOfAssistant/>
        <LegalEntityTypeID>1</LegalEntityTypeID>
        <IsVerdictExists>false</IsVerdictExists>
        <IsAsirAzir>false</IsAsirAzir>
        <MainAndSecSpec/>
        <IsPublicationProhibited>false</IsPublicationProhibited>
        <PublicationProhibitedFullName>נחמה דינה ארנסטוף</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261055768</CasePartyID>
        <PartyTypeID>3</PartyTypeID>
        <ActivityStatusID>1</ActivityStatusID>
        <LegalEntityID>7562533</LegalEntityID>
        <CaseLegalEntityID>126101844</CaseLegalEntityID>
        <AssistantRoleID>33</AssistantRoleID>
        <AuthenticationTypeID>13</AuthenticationTypeID>
        <AuthenticationTypeName>משרדי ממשלה</AuthenticationTypeName>
        <LegalEntityNumber>520024664</LegalEntityNumber>
        <IsMainPartyType>true</IsMainPartyType>
        <CaseDisplayIdentifier>4302-04-22</CaseDisplayIdentifier>
        <CaseTypeID>10048</CaseTypeID>
        <CaseTypeName>תיק פלילי (ת"פ)</CaseTypeName>
        <CaseName>מדינת ישראל נ' גבאי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272187829</CasePartyID>
        <PartyTypeID>3</PartyTypeID>
        <ActivityStatusID>1</ActivityStatusID>
        <LegalEntityID>2116814</LegalEntityID>
        <CaseLegalEntityID>129489612</CaseLegalEntityID>
        <AssistantRoleID>4</AssistantRoleID>
        <AuthenticationTypeID>13</AuthenticationTypeID>
        <AuthenticationTypeName>משרדי ממשלה</AuthenticationTypeName>
        <LegalEntityNumber>500106288</LegalEntityNumber>
        <IsMainPartyType>true</IsMainPartyType>
        <CaseDisplayIdentifier>4302-04-22</CaseDisplayIdentifier>
        <CaseTypeID>10048</CaseTypeID>
        <CaseTypeName>תיק פלילי (ת"פ)</CaseTypeName>
        <CaseName>מדינת ישראל נ' גבאי</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240649804</CasePartyID>
        <PartyTypeID>3</PartyTypeID>
        <ActivityStatusID>1</ActivityStatusID>
        <LegalEntityID>57351401</LegalEntityID>
        <CaseLegalEntityID>119654527</CaseLegalEntityID>
        <AssistantRoleID>26</AssistantRoleID>
        <AuthenticationTypeID>13</AuthenticationTypeID>
        <AuthenticationTypeName>משרדי ממשלה</AuthenticationTypeName>
        <LegalEntityNumber>570000938</LegalEntityNumber>
        <IsMainPartyType>true</IsMainPartyType>
        <CaseDisplayIdentifier>4302-04-22</CaseDisplayIdentifier>
        <CaseTypeID>10048</CaseTypeID>
        <CaseTypeName>תיק פלילי (ת"פ)</CaseTypeName>
        <CaseName>מדינת ישראל נ' גבאי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שני עזרא</FullName>
        <FirstName>שני</FirstName>
        <LastName>עזרא</LastName>
        <PartyPropertyName/>
        <AuthenticationTypeAndNumber>ת"ז 324989177</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250911180</CasePartyID>
        <PartyTypeID>4</PartyTypeID>
        <ActivityStatusID>1</ActivityStatusID>
        <PartyAliasID>101</PartyAliasID>
        <PartyAliasName>עד בית משפט</PartyAliasName>
        <LegalEntityID>79965124</LegalEntityID>
        <CaseLegalEntityID>122869730</CaseLegalEntityID>
        <AuthenticationTypeID>1</AuthenticationTypeID>
        <AuthenticationTypeName>ת"ז</AuthenticationTypeName>
        <LegalEntityNumber>324989177</LegalEntityNumber>
        <IsMainPartyType>true</IsMainPartyType>
        <CaseDisplayIdentifier>4302-04-22</CaseDisplayIdentifier>
        <CaseTypeID>10048</CaseTypeID>
        <CaseTypeName>תיק פלילי (ת"פ)</CaseTypeName>
        <CaseName>מדינת ישראל נ' גבאי</CaseName>
        <FullAddress>דב סקר 33 דירה 19 ירושלים </FullAddress>
        <MotionID>0</MotionID>
        <CasePleaID>0</CasePleaID>
        <FatherName>אייל</FatherName>
        <LinkedCaseID>0</LinkedCaseID>
        <PartyID>1</PartyID>
        <CasePartyCategoryID>2</CasePartyCategoryID>
        <LegalEntityAddressID>87459926</LegalEntityAddressID>
        <DrivingLicenseNumber>2250133</DrivingLicenseNumber>
        <PleaTypeID>8</PleaTypeID>
        <GroupPartyAlias/>
        <IsConverted>false</IsConverted>
        <LegalEntityRegisteredNameID>9627378</LegalEntityRegisteredNameID>
        <LegalEntityNameID>94296976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עזרא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יצחק גבאי</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240663809</CasePartyID>
        <PartyTypeID>2</PartyTypeID>
        <ActivityStatusID>1</ActivityStatusID>
        <PartyAliasID>32</PartyAliasID>
        <PartyAliasName>בא כוח נאשמים</PartyAliasName>
        <LegalEntityID>405414</LegalEntityID>
        <CaseLegalEntityID>119659780</CaseLegalEntityID>
        <AuthenticationTypeID>4</AuthenticationTypeID>
        <AuthenticationTypeName>מ.ר.</AuthenticationTypeName>
        <LegalEntityNumber>30081</LegalEntityNumber>
        <IsMainPartyType>true</IsMainPartyType>
        <CaseDisplayIdentifier>4302-04-22</CaseDisplayIdentifier>
        <CaseTypeID>10048</CaseTypeID>
        <CaseTypeName>תיק פלילי (ת"פ)</CaseTypeName>
        <CaseName>מדינת ישראל נ' גבאי</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MainAndSecSpec/>
        <IsPublicationProhibited>false</IsPublicationProhibited>
        <PublicationProhibitedFullName>דוד ברהום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239483976</CasePartyID>
        <PartyTypeID>1</PartyTypeID>
        <ActivityStatusID>1</ActivityStatusID>
        <PartyAliasID>11</PartyAliasID>
        <PartyAliasName>מאשימה</PartyAliasName>
        <OrdinalNumber>1</OrdinalNumber>
        <LegalEntityID>4</LegalEntityID>
        <CaseLegalEntityID>119297933</CaseLegalEntityID>
        <AuthenticationTypeID>41</AuthenticationTypeID>
        <AuthenticationTypeName>מדינת ישראל </AuthenticationTypeName>
        <LegalEntityNumber/>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239483977</CasePartyID>
        <PartyTypeID>2</PartyTypeID>
        <ActivityStatusID>1</ActivityStatusID>
        <PartyAliasID>30</PartyAliasID>
        <PartyAliasName>בא כוח מאשימה</PartyAliasName>
        <OrdinalNumber>1</OrdinalNumber>
        <LegalEntityID>401511</LegalEntityID>
        <CaseLegalEntityID>119297934</CaseLegalEntityID>
        <AuthenticationTypeID>4</AuthenticationTypeID>
        <AuthenticationTypeName>מ.ר.</AuthenticationTypeName>
        <LegalEntityNumber>23060</LegalEntityNumber>
        <IsMainPartyType>true</IsMainPartyType>
        <CaseDisplayIdentifier>4302-04-22</CaseDisplayIdentifier>
        <CaseTypeID>10048</CaseTypeID>
        <CaseTypeName>תיק פלילי (ת"פ)</CaseTypeName>
        <CaseName>מדינת ישראל נ' גבאי</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יצחק גבאי</FullName>
        <FirstName>יצחק</FirstName>
        <LastName>גבאי</LastName>
        <PartyPropertyName/>
        <AuthenticationTypeAndNumber>ת"ז 302278122</AuthenticationTypeAndNumber>
        <RepresentatedOrRepresentativesNames>דוד ברהום</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239483978</CasePartyID>
        <PartyTypeID>1</PartyTypeID>
        <ActivityStatusID>1</ActivityStatusID>
        <PartyAliasID>13</PartyAliasID>
        <PartyAliasName>נאשם</PartyAliasName>
        <OrdinalNumber>1</OrdinalNumber>
        <LegalEntityID>46368111</LegalEntityID>
        <CaseLegalEntityID>119297935</CaseLegalEntityID>
        <AuthenticationTypeID>1</AuthenticationTypeID>
        <AuthenticationTypeName>ת"ז</AuthenticationTypeName>
        <LegalEntityNumber>302278122</LegalEntityNumber>
        <IsMainPartyType>true</IsMainPartyType>
        <CaseDisplayIdentifier>4302-04-22</CaseDisplayIdentifier>
        <CaseTypeID>10048</CaseTypeID>
        <CaseTypeName>תיק פלילי (ת"פ)</CaseTypeName>
        <CaseName>מדינת ישראל נ' גבאי</CaseName>
        <FullAddress>דוד רמז 113/10 צפת </FullAddress>
        <MotionID>0</MotionID>
        <CasePleaID>0</CasePleaID>
        <FatherName>יוסף</FatherName>
        <LinkedCaseID>0</LinkedCaseID>
        <PartyID>2</PartyID>
        <CasePartyCategoryID>2</CasePartyCategoryID>
        <LegalEntityAddressID>86369367</LegalEntityAddressID>
        <PleaTypeID>8</PleaTypeID>
        <GroupPartyAlias>נאשמים</GroupPartyAlias>
        <IsConverted>false</IsConverted>
        <LegalEntityRegisteredNameID>5145951</LegalEntityRegisteredNameID>
        <LegalEntityNameID>92929025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גבאי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239483975</CasePartyID>
        <PartyTypeID>3</PartyTypeID>
        <ActivityStatusID>1</ActivityStatusID>
        <OrdinalNumber>2</OrdinalNumber>
        <LegalEntityID>2116683</LegalEntityID>
        <CaseLegalEntityID>119297932</CaseLegalEntityID>
        <AssistantRoleID>14</AssistantRoleID>
        <AuthenticationTypeID>13</AuthenticationTypeID>
        <AuthenticationTypeName>משרדי ממשלה</AuthenticationTypeName>
        <LegalEntityNumber>500106275</LegalEntityNumber>
        <IsMainPartyType>true</IsMainPartyType>
        <CaseDisplayIdentifier>4302-04-22</CaseDisplayIdentifier>
        <CaseTypeID>10048</CaseTypeID>
        <CaseTypeName>תיק פלילי (ת"פ)</CaseTypeName>
        <CaseName>מדינת ישראל נ' גבאי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ענת גופשטיין</FullName>
        <FirstName>ענת</FirstName>
        <LastName>גופשטיין</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248134862</CasePartyID>
        <PartyTypeID>4</PartyTypeID>
        <ActivityStatusID>1</ActivityStatusID>
        <PartyAliasID>101</PartyAliasID>
        <PartyAliasName>עד בית משפט</PartyAliasName>
        <OrdinalNumber>2</OrdinalNumber>
        <LegalEntityID>80850114</LegalEntityID>
        <CaseLegalEntityID>122026486</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
        <IsConverted>false</IsConverted>
        <LegalEntityNameID>93969616</LegalEntityNameID>
        <RepresentatedNamesOfAssistant/>
        <LegalEntityTypeID>1</LegalEntityTypeID>
        <IsVerdictExists>false</IsVerdictExists>
        <IsAsirAzir>false</IsAsirAzir>
        <MainAndSecSpec/>
        <IsPublicationProhibited>false</IsPublicationProhibited>
        <PublicationProhibitedFullName>ענת גופשטיין</PublicationProhibitedFullName>
      </CaseParties>
    </CasePartiesSelectionDS>
    <DecisionName>גזר דין  שניתנה ע"י  מוחמד חאג' יחיא</DecisionName>
    <CourtDisplayName>בית משפט השלום בירושלים</CourtDisplayName>
    <IsCaseJudgePanel>false</IsCaseJudgePanel>
    <DecisionSignatureDate>2024-09-15T08:25:24.6833387+03:00</DecisionSignatureDate>
    <OpenCaseDate>2022-04-04T08:52:00+03:00</OpenCaseDate>
    <ExternalCaseNumber>429259/21</ExternalCaseNumber>
    <DecisionTypeID>4</DecisionTypeID>
    <DecisionSignatureUserName>מוחמד חאג' יחיא</DecisionSignatureUserName>
    <DecisionSignatureDateHebrew>2024-09-15T08:25:24.6833387+03:00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מדינת ישראל נ' גבאי</CaseName>
    <DecisionNumberInCase>37</DecisionNumberInCase>
  </dt_Decision>
  <dt_DecisionCase>
    <DecisionID>0</DecisionID>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נחמה דינה ארנסטוף</FullName>
        <FirstName>נחמה דינה</FirstName>
        <LastName>ארנסטוף</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251036128</CasePartyID>
        <PartyTypeID>4</PartyTypeID>
        <ActivityStatusID>1</ActivityStatusID>
        <PartyAliasID>101</PartyAliasID>
        <PartyAliasName>עד בית משפט</PartyAliasName>
        <LegalEntityID>80990542</LegalEntityID>
        <CaseLegalEntityID>122909093</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תקוע 113 תקוע </FullAddress>
        <MotionID>0</MotionID>
        <CasePleaID>0</CasePleaID>
        <LinkedCaseID>0</LinkedCaseID>
        <CasePartyCategoryID>1</CasePartyCategoryID>
        <LegalEntityAddressID>87471716</LegalEntityAddressID>
        <PleaTypeID>8</PleaTypeID>
        <GroupPartyAlias/>
        <IsConverted>false</IsConverted>
        <LegalEntityNameID>94311770</LegalEntityNameID>
        <RepresentatedNamesOfAssistant/>
        <LegalEntityTypeID>1</LegalEntityTypeID>
        <IsVerdictExists>false</IsVerdictExists>
        <IsAsirAzir>false</IsAsirAzir>
        <MainAndSecSpec/>
        <IsPublicationProhibited>false</IsPublicationProhibited>
        <PublicationProhibitedFullName>נחמה דינה ארנסטוף</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261055768</CasePartyID>
        <PartyTypeID>3</PartyTypeID>
        <ActivityStatusID>1</ActivityStatusID>
        <LegalEntityID>7562533</LegalEntityID>
        <CaseLegalEntityID>126101844</CaseLegalEntityID>
        <AssistantRoleID>33</AssistantRoleID>
        <AuthenticationTypeID>13</AuthenticationTypeID>
        <AuthenticationTypeName>משרדי ממשלה</AuthenticationTypeName>
        <LegalEntityNumber>520024664</LegalEntityNumber>
        <IsMainPartyType>true</IsMainPartyType>
        <CaseDisplayIdentifier>4302-04-22</CaseDisplayIdentifier>
        <CaseTypeID>10048</CaseTypeID>
        <CaseTypeName>תיק פלילי (ת"פ)</CaseTypeName>
        <CaseName>מדינת ישראל נ' גבאי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272187829</CasePartyID>
        <PartyTypeID>3</PartyTypeID>
        <ActivityStatusID>1</ActivityStatusID>
        <LegalEntityID>2116814</LegalEntityID>
        <CaseLegalEntityID>129489612</CaseLegalEntityID>
        <AssistantRoleID>4</AssistantRoleID>
        <AuthenticationTypeID>13</AuthenticationTypeID>
        <AuthenticationTypeName>משרדי ממשלה</AuthenticationTypeName>
        <LegalEntityNumber>500106288</LegalEntityNumber>
        <IsMainPartyType>true</IsMainPartyType>
        <CaseDisplayIdentifier>4302-04-22</CaseDisplayIdentifier>
        <CaseTypeID>10048</CaseTypeID>
        <CaseTypeName>תיק פלילי (ת"פ)</CaseTypeName>
        <CaseName>מדינת ישראל נ' גבאי</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240649804</CasePartyID>
        <PartyTypeID>3</PartyTypeID>
        <ActivityStatusID>1</ActivityStatusID>
        <LegalEntityID>57351401</LegalEntityID>
        <CaseLegalEntityID>119654527</CaseLegalEntityID>
        <AssistantRoleID>26</AssistantRoleID>
        <AuthenticationTypeID>13</AuthenticationTypeID>
        <AuthenticationTypeName>משרדי ממשלה</AuthenticationTypeName>
        <LegalEntityNumber>570000938</LegalEntityNumber>
        <IsMainPartyType>true</IsMainPartyType>
        <CaseDisplayIdentifier>4302-04-22</CaseDisplayIdentifier>
        <CaseTypeID>10048</CaseTypeID>
        <CaseTypeName>תיק פלילי (ת"פ)</CaseTypeName>
        <CaseName>מדינת ישראל נ' גבאי</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שני עזרא</FullName>
        <FirstName>שני</FirstName>
        <LastName>עזרא</LastName>
        <PartyPropertyName/>
        <AuthenticationTypeAndNumber>ת"ז 324989177</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250911180</CasePartyID>
        <PartyTypeID>4</PartyTypeID>
        <ActivityStatusID>1</ActivityStatusID>
        <PartyAliasID>101</PartyAliasID>
        <PartyAliasName>עד בית משפט</PartyAliasName>
        <LegalEntityID>79965124</LegalEntityID>
        <CaseLegalEntityID>122869730</CaseLegalEntityID>
        <AuthenticationTypeID>1</AuthenticationTypeID>
        <AuthenticationTypeName>ת"ז</AuthenticationTypeName>
        <LegalEntityNumber>324989177</LegalEntityNumber>
        <IsMainPartyType>true</IsMainPartyType>
        <CaseDisplayIdentifier>4302-04-22</CaseDisplayIdentifier>
        <CaseTypeID>10048</CaseTypeID>
        <CaseTypeName>תיק פלילי (ת"פ)</CaseTypeName>
        <CaseName>מדינת ישראל נ' גבאי</CaseName>
        <FullAddress>דב סקר 33 דירה 19 ירושלים </FullAddress>
        <MotionID>0</MotionID>
        <CasePleaID>0</CasePleaID>
        <FatherName>אייל</FatherName>
        <LinkedCaseID>0</LinkedCaseID>
        <PartyID>1</PartyID>
        <CasePartyCategoryID>2</CasePartyCategoryID>
        <LegalEntityAddressID>87459926</LegalEntityAddressID>
        <DrivingLicenseNumber>2250133</DrivingLicenseNumber>
        <PleaTypeID>8</PleaTypeID>
        <GroupPartyAlias/>
        <IsConverted>false</IsConverted>
        <LegalEntityRegisteredNameID>9627378</LegalEntityRegisteredNameID>
        <LegalEntityNameID>94296976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שני עזרא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ברהום</FullName>
        <FirstName>דוד</FirstName>
        <LastName>ברהום</LastName>
        <PartyPropertyName/>
        <AuthenticationTypeAndNumber>מ.ר. 30081</AuthenticationTypeAndNumber>
        <RepresentatedOrRepresentativesNames>יצחק גבאי</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240663809</CasePartyID>
        <PartyTypeID>2</PartyTypeID>
        <ActivityStatusID>1</ActivityStatusID>
        <PartyAliasID>32</PartyAliasID>
        <PartyAliasName>בא כוח נאשמים</PartyAliasName>
        <LegalEntityID>405414</LegalEntityID>
        <CaseLegalEntityID>119659780</CaseLegalEntityID>
        <AuthenticationTypeID>4</AuthenticationTypeID>
        <AuthenticationTypeName>מ.ר.</AuthenticationTypeName>
        <LegalEntityNumber>30081</LegalEntityNumber>
        <IsMainPartyType>true</IsMainPartyType>
        <CaseDisplayIdentifier>4302-04-22</CaseDisplayIdentifier>
        <CaseTypeID>10048</CaseTypeID>
        <CaseTypeName>תיק פלילי (ת"פ)</CaseTypeName>
        <CaseName>מדינת ישראל נ' גבאי</CaseName>
        <FullAddress>יפו 33 ירושלים </FullAddress>
        <EmailAddress>davidbarhoomlaw@gmail.com</EmailAddress>
        <MotionID>0</MotionID>
        <CasePleaID>0</CasePleaID>
        <LinkedCaseID>0</LinkedCaseID>
        <PartyID>2</PartyID>
        <CasePartyCategoryID>2</CasePartyCategoryID>
        <LegalEntityAddressID>70184528</LegalEntityAddressID>
        <LegalEntityEmailAddressID>68137933</LegalEntityEmailAddressID>
        <PleaTypeID>8</PleaTypeID>
        <LawyerOfficeName>משרד עו"ד: דוד ברהום</LawyerOfficeName>
        <LawyerOfficeID>446058</LawyerOfficeID>
        <GroupPartyAlias/>
        <IsConverted>false</IsConverted>
        <LegalEntityNameID>26398</LegalEntityNameID>
        <RepresentatedNamesOfAssistant/>
        <LegalEntityTypeID>4</LegalEntityTypeID>
        <IsVerdictExists>false</IsVerdictExists>
        <IsAsirAzir>false</IsAsirAzir>
        <MainAndSecSpec/>
        <IsPublicationProhibited>false</IsPublicationProhibited>
        <PublicationProhibitedFullName>דוד ברהום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239483976</CasePartyID>
        <PartyTypeID>1</PartyTypeID>
        <ActivityStatusID>1</ActivityStatusID>
        <PartyAliasID>11</PartyAliasID>
        <PartyAliasName>מאשימה</PartyAliasName>
        <OrdinalNumber>1</OrdinalNumber>
        <LegalEntityID>4</LegalEntityID>
        <CaseLegalEntityID>119297933</CaseLegalEntityID>
        <AuthenticationTypeID>41</AuthenticationTypeID>
        <AuthenticationTypeName>מדינת ישראל </AuthenticationTypeName>
        <LegalEntityNumber/>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239483977</CasePartyID>
        <PartyTypeID>2</PartyTypeID>
        <ActivityStatusID>1</ActivityStatusID>
        <PartyAliasID>30</PartyAliasID>
        <PartyAliasName>בא כוח מאשימה</PartyAliasName>
        <OrdinalNumber>1</OrdinalNumber>
        <LegalEntityID>401511</LegalEntityID>
        <CaseLegalEntityID>119297934</CaseLegalEntityID>
        <AuthenticationTypeID>4</AuthenticationTypeID>
        <AuthenticationTypeName>מ.ר.</AuthenticationTypeName>
        <LegalEntityNumber>23060</LegalEntityNumber>
        <IsMainPartyType>true</IsMainPartyType>
        <CaseDisplayIdentifier>4302-04-22</CaseDisplayIdentifier>
        <CaseTypeID>10048</CaseTypeID>
        <CaseTypeName>תיק פלילי (ת"פ)</CaseTypeName>
        <CaseName>מדינת ישראל נ' גבאי</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יצחק גבאי</FullName>
        <FirstName>יצחק</FirstName>
        <LastName>גבאי</LastName>
        <PartyPropertyName/>
        <AuthenticationTypeAndNumber>ת"ז 302278122</AuthenticationTypeAndNumber>
        <RepresentatedOrRepresentativesNames>דוד ברהום</RepresentatedOrRepresentativesNames>
        <RepresentatedOrRepresentativesCount>1</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239483978</CasePartyID>
        <PartyTypeID>1</PartyTypeID>
        <ActivityStatusID>1</ActivityStatusID>
        <PartyAliasID>13</PartyAliasID>
        <PartyAliasName>נאשם</PartyAliasName>
        <OrdinalNumber>1</OrdinalNumber>
        <LegalEntityID>46368111</LegalEntityID>
        <CaseLegalEntityID>119297935</CaseLegalEntityID>
        <AuthenticationTypeID>1</AuthenticationTypeID>
        <AuthenticationTypeName>ת"ז</AuthenticationTypeName>
        <LegalEntityNumber>302278122</LegalEntityNumber>
        <IsMainPartyType>true</IsMainPartyType>
        <CaseDisplayIdentifier>4302-04-22</CaseDisplayIdentifier>
        <CaseTypeID>10048</CaseTypeID>
        <CaseTypeName>תיק פלילי (ת"פ)</CaseTypeName>
        <CaseName>מדינת ישראל נ' גבאי</CaseName>
        <FullAddress>דוד רמז 113/10 צפת </FullAddress>
        <MotionID>0</MotionID>
        <CasePleaID>0</CasePleaID>
        <FatherName>יוסף</FatherName>
        <LinkedCaseID>0</LinkedCaseID>
        <PartyID>2</PartyID>
        <CasePartyCategoryID>2</CasePartyCategoryID>
        <LegalEntityAddressID>86369367</LegalEntityAddressID>
        <PleaTypeID>8</PleaTypeID>
        <GroupPartyAlias>נאשמים</GroupPartyAlias>
        <IsConverted>false</IsConverted>
        <LegalEntityRegisteredNameID>5145951</LegalEntityRegisteredNameID>
        <LegalEntityNameID>92929025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יצחק גבאי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239483975</CasePartyID>
        <PartyTypeID>3</PartyTypeID>
        <ActivityStatusID>1</ActivityStatusID>
        <OrdinalNumber>2</OrdinalNumber>
        <LegalEntityID>2116683</LegalEntityID>
        <CaseLegalEntityID>119297932</CaseLegalEntityID>
        <AssistantRoleID>14</AssistantRoleID>
        <AuthenticationTypeID>13</AuthenticationTypeID>
        <AuthenticationTypeName>משרדי ממשלה</AuthenticationTypeName>
        <LegalEntityNumber>500106275</LegalEntityNumber>
        <IsMainPartyType>true</IsMainPartyType>
        <CaseDisplayIdentifier>4302-04-22</CaseDisplayIdentifier>
        <CaseTypeID>10048</CaseTypeID>
        <CaseTypeName>תיק פלילי (ת"פ)</CaseTypeName>
        <CaseName>מדינת ישראל נ' גבאי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ענת גופשטיין</FullName>
        <FirstName>ענת</FirstName>
        <LastName>גופשטיין</LastName>
        <PartyPropertyName/>
        <AuthenticationTypeAndNumber>ת"ז </AuthenticationTypeAndNumber>
        <RepresentatedOrRepresentativesNames/>
        <RepresentatedOrRepresentativesCount>0</RepresentatedOrRepresentativesCount>
        <InvitedBy/>
        <CaseID>79177073</CaseID>
        <CaseJudicialPersonPresentationDS>
          <CaseJudicalPersonActive>
            <CaseID>79177073</CaseID>
            <JudicialPersonID>036186385@GOV.IL</JudicialPersonID>
            <JudicialPersonTypeID>1</JudicialPersonTypeID>
            <JudicialTypeID>1</JudicialTypeID>
            <IsChairman>false</IsChairman>
            <TreatmentStartDate>2022-07-17T17:19:51.837+03:00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248134862</CasePartyID>
        <PartyTypeID>4</PartyTypeID>
        <ActivityStatusID>1</ActivityStatusID>
        <PartyAliasID>101</PartyAliasID>
        <PartyAliasName>עד בית משפט</PartyAliasName>
        <OrdinalNumber>2</OrdinalNumber>
        <LegalEntityID>80850114</LegalEntityID>
        <CaseLegalEntityID>122026486</CaseLegalEntityID>
        <AuthenticationTypeID>1</AuthenticationTypeID>
        <AuthenticationTypeName>ת"ז</AuthenticationTypeName>
        <IsMainPartyType>true</IsMainPartyType>
        <CaseDisplayIdentifier>4302-04-22</CaseDisplayIdentifier>
        <CaseTypeID>10048</CaseTypeID>
        <CaseTypeName>תיק פלילי (ת"פ)</CaseTypeName>
        <CaseName>מדינת ישראל נ' גבאי</CaseName>
        <FullAddress/>
        <MotionID>0</MotionID>
        <CasePleaID>0</CasePleaID>
        <LinkedCaseID>0</LinkedCaseID>
        <PartyID>1</PartyID>
        <CasePartyCategoryID>2</CasePartyCategoryID>
        <PleaTypeID>8</PleaTypeID>
        <GroupPartyAlias/>
        <IsConverted>false</IsConverted>
        <LegalEntityNameID>93969616</LegalEntityNameID>
        <RepresentatedNamesOfAssistant/>
        <LegalEntityTypeID>1</LegalEntityTypeID>
        <IsVerdictExists>false</IsVerdictExists>
        <IsAsirAzir>false</IsAsirAzir>
        <MainAndSecSpec/>
        <IsPublicationProhibited>false</IsPublicationProhibited>
        <PublicationProhibitedFullName>ענת גופשטיין</PublicationProhibitedFullName>
      </CaseParties>
    </CasePartiesSelectionDS>
    <CaseName>מדינת ישראל נ' גבאי</CaseName>
    <CaseDisplayIdentifier>4302-04-22</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02-6250204</Fax>
    <Phone>02-6250203</Phone>
    <PartyID>2</PartyID>
    <PartyTypeID>2</PartyTypeID>
    <DecisionID>0</DecisionID>
    <StreetName>יפו 33</StreetName>
    <CityName>ירושלים</CityName>
    <FullName>דוד ברהום</FullName>
    <Email>davidbarhoomlaw@gmail.com</Email>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08-9258425</Fax>
    <Phone>08-9258426</Phone>
    <AddressDesc/>
    <PartyID>1</PartyID>
    <PartyTypeID>3</PartyTypeID>
    <DecisionID>0</DecisionID>
    <AssistantRoleID>33</AssistantRoleID>
    <StreetName>יצחק רבין 1 ת.ד 1</StreetName>
    <CityName>באר יעקב</CityName>
    <FullName> המרכז להערכת מסוכנות</FullName>
    <Email/>
    <IsPublicationProhibited>false</IsPublicationProhibited>
  </dt_LegalEntityDetails>
  <dt_LegalEntityDetails>
    <Fax>08-9193006</Fax>
    <Phone>08-6290661</Phone>
    <AddressDesc> מיקוד 84000</AddressDesc>
    <PartyID>1</PartyID>
    <PartyTypeID>3</PartyTypeID>
    <DecisionID>0</DecisionID>
    <AssistantRoleID>4</AssistantRoleID>
    <StreetName>..</StreetName>
    <CityName>באר שבע</CityName>
    <FullName> הממונה על עבודות שירות - מפקדת גוש דרום וירושלים</FullName>
    <Email>avshdarom@ips.gov.il</Email>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דוד רמז 113/10</StreetName>
    <ZipCode>133530</ZipCode>
    <CityName>צפת</CityName>
    <FullName>יצחק  גבאי </FullName>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מוחמד חאג' יחיא</CaseJudicalPerson>
  </dt_CaseJudicalPersonActive>
  <dt_Sitting>
    <FutureSittingDate>2024-09-15T10:00:00+03:00</FutureSittingDate>
    <PreviousMeetingDate>2024-06-30T09:30:00+03:00</PreviousMeetingDate>
    <NextSittingTypeID>15</NextSittingTypeID>
    <PreviousSittingTypeID>12</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850BB85B-0B92-42B2-BEBA-4EDAB29A9C4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3183</Words>
  <Characters>15917</Characters>
  <Application>Microsoft Office Word</Application>
  <DocSecurity>0</DocSecurity>
  <Lines>132</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2024-09-15T07:00:00Z</cp:lastPrinted>
  <dcterms:created xsi:type="dcterms:W3CDTF">2024-09-19T06:36:00Z</dcterms:created>
  <dcterms:modified xsi:type="dcterms:W3CDTF">2024-09-19T06:36:00Z</dcterms:modified>
</cp:coreProperties>
</file>